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90CE" w14:textId="77777777" w:rsidR="00304177" w:rsidRDefault="00304177" w:rsidP="0030417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</w:p>
    <w:p w14:paraId="23D42B5E" w14:textId="4D2A88ED" w:rsidR="00304177" w:rsidRDefault="00304177" w:rsidP="003041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активностима европских институција у области заштите животне средине за период </w:t>
      </w:r>
      <w:bookmarkStart w:id="0" w:name="_Hlk57708206"/>
      <w:r>
        <w:rPr>
          <w:rFonts w:ascii="Times New Roman" w:hAnsi="Times New Roman" w:cs="Times New Roman"/>
          <w:sz w:val="24"/>
          <w:szCs w:val="24"/>
          <w:lang w:val="sr-Cyrl-RS"/>
        </w:rPr>
        <w:t>јануар-март 2021. година</w:t>
      </w:r>
    </w:p>
    <w:p w14:paraId="1D908AA5" w14:textId="77777777" w:rsidR="00304177" w:rsidRDefault="00304177" w:rsidP="003041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D239915" w14:textId="7E0994E1" w:rsidR="00304177" w:rsidRPr="00A52691" w:rsidRDefault="00304177" w:rsidP="003041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Јануар,</w:t>
      </w:r>
      <w:r w:rsidRPr="00A526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</w:t>
      </w:r>
      <w:r w:rsidR="002D2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26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година</w:t>
      </w:r>
    </w:p>
    <w:p w14:paraId="69B49CDC" w14:textId="526C485B" w:rsidR="00304177" w:rsidRDefault="00304177" w:rsidP="003041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1" w:name="_Hlk57627896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Усвојени ЕУ прописи:</w:t>
      </w:r>
    </w:p>
    <w:p w14:paraId="1F209E88" w14:textId="258B4340" w:rsidR="001C15E2" w:rsidRPr="00080F1B" w:rsidRDefault="001C15E2" w:rsidP="006A38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Уредба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(ЕУ)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2021/7 </w:t>
      </w:r>
      <w:r w:rsidRPr="006A380D">
        <w:rPr>
          <w:rFonts w:ascii="Times New Roman" w:hAnsi="Times New Roman" w:cs="Times New Roman"/>
          <w:sz w:val="24"/>
          <w:szCs w:val="24"/>
          <w:lang w:val="sr-Cyrl-RS"/>
        </w:rPr>
        <w:t>од 5. јануара 2021. године, а у вези са проширењем акције која је преузета од стране Финске агенције за безбедност и хемикалије</w:t>
      </w:r>
      <w:r w:rsidR="006A380D" w:rsidRPr="006A380D">
        <w:rPr>
          <w:rFonts w:ascii="Times New Roman" w:hAnsi="Times New Roman" w:cs="Times New Roman"/>
          <w:sz w:val="24"/>
          <w:szCs w:val="24"/>
          <w:lang w:val="sr-Cyrl-RS"/>
        </w:rPr>
        <w:t xml:space="preserve"> којом се дозвољава стављање у промет на тржишту и употреба биоцидног производа у складу са чланом 55 Уредбе са бројем 528/2012 Европског парламента и Савета.</w:t>
      </w:r>
    </w:p>
    <w:p w14:paraId="360EB6EA" w14:textId="694A1158" w:rsidR="00080F1B" w:rsidRPr="0061053D" w:rsidRDefault="00080F1B" w:rsidP="006A38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Уредба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(ЕУ)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2021/19 </w:t>
      </w:r>
      <w:r w:rsidRPr="00CE2030">
        <w:rPr>
          <w:rFonts w:ascii="Times New Roman" w:hAnsi="Times New Roman" w:cs="Times New Roman"/>
          <w:sz w:val="24"/>
          <w:szCs w:val="24"/>
          <w:lang w:val="sr-Cyrl-RS"/>
        </w:rPr>
        <w:t xml:space="preserve">од 18. децембра 2020. године о утврђивању заједничке методологије и формата за извештавање о поновној употреби у складу са Директивом </w:t>
      </w:r>
      <w:r w:rsidR="00CE2030" w:rsidRPr="00CE2030">
        <w:rPr>
          <w:rFonts w:ascii="Times New Roman" w:hAnsi="Times New Roman" w:cs="Times New Roman"/>
          <w:sz w:val="24"/>
          <w:szCs w:val="24"/>
          <w:lang w:val="sr-Cyrl-RS"/>
        </w:rPr>
        <w:t>2008/98 ЕС Европског парламента и Савета.</w:t>
      </w:r>
    </w:p>
    <w:p w14:paraId="14C64C1A" w14:textId="0ED5D118" w:rsidR="0061053D" w:rsidRPr="00590A95" w:rsidRDefault="0061053D" w:rsidP="006A38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Уредба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(ЕУ) </w:t>
      </w:r>
      <w:r w:rsidR="008B5776" w:rsidRPr="008B57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511/2014</w:t>
      </w:r>
      <w:r w:rsidR="008B5776" w:rsidRPr="008B5776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Европског парламента и Савета о мерама усклађености за кориснике из протокола из Нагоје о приступу генетичким ресурсима и правичном и равноправном дељењу користи које произилазе из њихове употребе у Унији.</w:t>
      </w:r>
    </w:p>
    <w:p w14:paraId="2AC642D2" w14:textId="25495903" w:rsidR="00590A95" w:rsidRPr="00E12337" w:rsidRDefault="00590A95" w:rsidP="006A38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Уредба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2021/32 </w:t>
      </w:r>
      <w:r w:rsidRPr="00590A95">
        <w:rPr>
          <w:rFonts w:ascii="Times New Roman" w:hAnsi="Times New Roman" w:cs="Times New Roman"/>
          <w:sz w:val="24"/>
          <w:szCs w:val="24"/>
          <w:lang w:val="sr-Cyrl-RS"/>
        </w:rPr>
        <w:t>од 13. јануара 2021. године у вези са проширењем акције Луксембуршке агенције за животну средину којом се дозвољава стављање на тржиште и употреба биоцидног производа БИОБ</w:t>
      </w:r>
      <w:r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Pr="00590A95">
        <w:rPr>
          <w:rFonts w:ascii="Times New Roman" w:hAnsi="Times New Roman" w:cs="Times New Roman"/>
          <w:sz w:val="24"/>
          <w:szCs w:val="24"/>
          <w:lang w:val="sr-Cyrl-RS"/>
        </w:rPr>
        <w:t xml:space="preserve"> ЈФ у складу са чланом 55 Уредбе са бројем 528/2012 Европског парламента и Савета.</w:t>
      </w:r>
    </w:p>
    <w:p w14:paraId="1E8E01CD" w14:textId="2AFDCEB3" w:rsidR="00E12337" w:rsidRPr="0016456C" w:rsidRDefault="00E12337" w:rsidP="006A38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Уредба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2021/57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25. јануара 2021. године о измени Прилога 17 Уредбе са бројем 1907/2006 Европског парламента и Савета у вези са регистрацијом, проценом, одобрењем и ограниченом употребом хемикалија (</w:t>
      </w:r>
      <w:r>
        <w:rPr>
          <w:rFonts w:ascii="Times New Roman" w:hAnsi="Times New Roman" w:cs="Times New Roman"/>
          <w:sz w:val="24"/>
          <w:szCs w:val="24"/>
        </w:rPr>
        <w:t>REACH</w:t>
      </w:r>
      <w:r>
        <w:rPr>
          <w:rFonts w:ascii="Times New Roman" w:hAnsi="Times New Roman" w:cs="Times New Roman"/>
          <w:sz w:val="24"/>
          <w:szCs w:val="24"/>
          <w:lang w:val="sr-Cyrl-RS"/>
        </w:rPr>
        <w:t>) у погледу олова при пуцњави у мочварама и око њих.</w:t>
      </w:r>
    </w:p>
    <w:p w14:paraId="043B257A" w14:textId="51DE1E99" w:rsidR="0016456C" w:rsidRPr="00911DFA" w:rsidRDefault="00444340" w:rsidP="006A38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2021/88 </w:t>
      </w:r>
      <w:r w:rsidRPr="00444340">
        <w:rPr>
          <w:rFonts w:ascii="Times New Roman" w:hAnsi="Times New Roman" w:cs="Times New Roman"/>
          <w:sz w:val="24"/>
          <w:szCs w:val="24"/>
          <w:lang w:val="sr-Cyrl-RS"/>
        </w:rPr>
        <w:t xml:space="preserve">од 26. јануара 2021. године о измени и допуни Одлуке о спровођењу Уредве са бројем 2019/570 у погледу капацитета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Захтева за електрично повезивање услуга ЕУ </w:t>
      </w:r>
      <w:r w:rsidRPr="00444340">
        <w:rPr>
          <w:rFonts w:ascii="Times New Roman" w:hAnsi="Times New Roman" w:cs="Times New Roman"/>
          <w:sz w:val="24"/>
          <w:szCs w:val="24"/>
          <w:lang w:val="sr-Cyrl-RS"/>
        </w:rPr>
        <w:t>у области хемијских, биолошких, радиолошких и нуклеарних идентитета.</w:t>
      </w:r>
    </w:p>
    <w:p w14:paraId="3F5160EC" w14:textId="269DA41E" w:rsidR="00911DFA" w:rsidRPr="00A77009" w:rsidRDefault="00911DFA" w:rsidP="00911D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2021/98 </w:t>
      </w:r>
      <w:r w:rsidRPr="00911DFA">
        <w:rPr>
          <w:rFonts w:ascii="Times New Roman" w:hAnsi="Times New Roman" w:cs="Times New Roman"/>
          <w:sz w:val="24"/>
          <w:szCs w:val="24"/>
          <w:lang w:val="sr-Cyrl-RS"/>
        </w:rPr>
        <w:t>од 28. јануара 2021. године којом се не одобрава есбиотрин као постојећа активна супстанца за употребу у биоцидним производима производа типа 18.</w:t>
      </w:r>
    </w:p>
    <w:p w14:paraId="5C7B61EB" w14:textId="65BC0376" w:rsidR="00A77009" w:rsidRPr="00DA439C" w:rsidRDefault="00A77009" w:rsidP="00911D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2021/103 </w:t>
      </w:r>
      <w:r w:rsidRPr="00A77009">
        <w:rPr>
          <w:rFonts w:ascii="Times New Roman" w:hAnsi="Times New Roman" w:cs="Times New Roman"/>
          <w:sz w:val="24"/>
          <w:szCs w:val="24"/>
          <w:lang w:val="sr-Cyrl-RS"/>
        </w:rPr>
        <w:t>од 29. јануара 2021. године којом се не одобрава угљен-диоксид као постојећа активна упстанца за употребу у биоцидним производима 19.</w:t>
      </w:r>
    </w:p>
    <w:p w14:paraId="63501EE8" w14:textId="1CD7422E" w:rsidR="00A77009" w:rsidRPr="00FC2DB9" w:rsidRDefault="00DA439C" w:rsidP="006105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2021/105 </w:t>
      </w:r>
      <w:r w:rsidRPr="00545541">
        <w:rPr>
          <w:rFonts w:ascii="Times New Roman" w:hAnsi="Times New Roman" w:cs="Times New Roman"/>
          <w:sz w:val="24"/>
          <w:szCs w:val="24"/>
          <w:lang w:val="sr-Cyrl-RS"/>
        </w:rPr>
        <w:t xml:space="preserve">од 28. јануара 2021. године у вези са проширењем акције Данске агенције за заштиту животне средине која дозвољава стављање </w:t>
      </w:r>
      <w:r w:rsidR="00545541" w:rsidRPr="00545541">
        <w:rPr>
          <w:rFonts w:ascii="Times New Roman" w:hAnsi="Times New Roman" w:cs="Times New Roman"/>
          <w:sz w:val="24"/>
          <w:szCs w:val="24"/>
          <w:lang w:val="sr-Cyrl-RS"/>
        </w:rPr>
        <w:t>на располагање на тржишту и употребу биоцидног производа Биобор</w:t>
      </w:r>
      <w:r w:rsidR="00545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541" w:rsidRPr="00545541">
        <w:rPr>
          <w:rFonts w:ascii="Times New Roman" w:hAnsi="Times New Roman" w:cs="Times New Roman"/>
          <w:sz w:val="24"/>
          <w:szCs w:val="24"/>
          <w:lang w:val="sr-Cyrl-RS"/>
        </w:rPr>
        <w:t>ЈФ у складу са Чланом 55 Уредбе са бројем 528/2012 Европског парламента и Савета.</w:t>
      </w:r>
    </w:p>
    <w:p w14:paraId="136B968F" w14:textId="1DE5CB45" w:rsidR="00A77009" w:rsidRPr="00EC11B5" w:rsidRDefault="00FC2DB9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C2D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 w:rsidRPr="00FC2D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2021/107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C2DB9">
        <w:rPr>
          <w:rFonts w:ascii="Times New Roman" w:hAnsi="Times New Roman" w:cs="Times New Roman"/>
          <w:sz w:val="24"/>
          <w:szCs w:val="24"/>
          <w:lang w:val="sr-Cyrl-RS"/>
        </w:rPr>
        <w:t xml:space="preserve">од 28. јануара 2021. године, а у вези са </w:t>
      </w:r>
      <w:r w:rsidR="000F3541">
        <w:rPr>
          <w:rFonts w:ascii="Times New Roman" w:hAnsi="Times New Roman" w:cs="Times New Roman"/>
          <w:sz w:val="24"/>
          <w:szCs w:val="24"/>
          <w:lang w:val="sr-Cyrl-RS"/>
        </w:rPr>
        <w:t>продуженим радом</w:t>
      </w:r>
      <w:r w:rsidRPr="00FC2DB9">
        <w:rPr>
          <w:rFonts w:ascii="Times New Roman" w:hAnsi="Times New Roman" w:cs="Times New Roman"/>
          <w:sz w:val="24"/>
          <w:szCs w:val="24"/>
          <w:lang w:val="sr-Cyrl-RS"/>
        </w:rPr>
        <w:t xml:space="preserve"> Шведске агенције за хемикалије којом се дозвољава стављање на тржиште и </w:t>
      </w:r>
      <w:r w:rsidRPr="00FC2DB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коришћење биоцидног производа Биобор ЈФ у складу са Чланом 55 Уредбе са бројем 528/2012 Европског парламента и Савета.</w:t>
      </w:r>
    </w:p>
    <w:p w14:paraId="17672C48" w14:textId="2BA6651F" w:rsidR="00EC11B5" w:rsidRPr="00B42AE0" w:rsidRDefault="00EC11B5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2021/115 </w:t>
      </w:r>
      <w:r w:rsidRPr="00EC11B5">
        <w:rPr>
          <w:rFonts w:ascii="Times New Roman" w:hAnsi="Times New Roman" w:cs="Times New Roman"/>
          <w:sz w:val="24"/>
          <w:szCs w:val="24"/>
          <w:lang w:val="sr-Cyrl-RS"/>
        </w:rPr>
        <w:t>од 27. новембра 2020. године о измени Прилога 1 и Уредбе са бројем 2019/1021</w:t>
      </w:r>
      <w:r w:rsidR="0021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11B5">
        <w:rPr>
          <w:rFonts w:ascii="Times New Roman" w:hAnsi="Times New Roman" w:cs="Times New Roman"/>
          <w:sz w:val="24"/>
          <w:szCs w:val="24"/>
          <w:lang w:val="sr-Cyrl-RS"/>
        </w:rPr>
        <w:t>Европског парламента и Савета у погледу перфлуорооктанске киселине (ПФОА), њених соли и једињења</w:t>
      </w:r>
      <w:r w:rsidR="000F3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11B5">
        <w:rPr>
          <w:rFonts w:ascii="Times New Roman" w:hAnsi="Times New Roman" w:cs="Times New Roman"/>
          <w:sz w:val="24"/>
          <w:szCs w:val="24"/>
          <w:lang w:val="sr-Cyrl-RS"/>
        </w:rPr>
        <w:t>повезаних са ПФОА.</w:t>
      </w:r>
    </w:p>
    <w:p w14:paraId="7F030A9C" w14:textId="3B8C19F9" w:rsidR="00B42AE0" w:rsidRPr="00B0153B" w:rsidRDefault="00B42AE0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2021/333 </w:t>
      </w:r>
      <w:r w:rsidRPr="00B42AE0">
        <w:rPr>
          <w:rFonts w:ascii="Times New Roman" w:hAnsi="Times New Roman" w:cs="Times New Roman"/>
          <w:sz w:val="24"/>
          <w:szCs w:val="24"/>
          <w:lang w:val="sr-Cyrl-RS"/>
        </w:rPr>
        <w:t>од 24. фебруара 2021. године о одлагању датума истека одобрења алфахлоралозе за употребу у биоцидним производима, тип 14.</w:t>
      </w:r>
    </w:p>
    <w:p w14:paraId="29457824" w14:textId="431BD299" w:rsidR="00B0153B" w:rsidRPr="007A2FA0" w:rsidRDefault="00B0153B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 w:rsidR="00432E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2021/345 </w:t>
      </w:r>
      <w:r w:rsidR="00432EAB" w:rsidRPr="00432EAB">
        <w:rPr>
          <w:rFonts w:ascii="Times New Roman" w:hAnsi="Times New Roman" w:cs="Times New Roman"/>
          <w:sz w:val="24"/>
          <w:szCs w:val="24"/>
          <w:lang w:val="sr-Cyrl-RS"/>
        </w:rPr>
        <w:t>од 25. фебруара 2021. године о одобравању активног хлора добијеног из натријум-хлорида електролизом као активне супстанце за употребу у биоцидним производима, тип 2, 3, 4 и 5.</w:t>
      </w:r>
    </w:p>
    <w:p w14:paraId="15D9EFD6" w14:textId="42F8C09D" w:rsidR="007A2FA0" w:rsidRPr="00520562" w:rsidRDefault="007A2FA0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2021/347 </w:t>
      </w:r>
      <w:r w:rsidRPr="007A2FA0">
        <w:rPr>
          <w:rFonts w:ascii="Times New Roman" w:hAnsi="Times New Roman" w:cs="Times New Roman"/>
          <w:sz w:val="24"/>
          <w:szCs w:val="24"/>
          <w:lang w:val="sr-Cyrl-RS"/>
        </w:rPr>
        <w:t>од 25. фебруара 2021. године о одобравању активног хлора ослобођеног из хлороводоничне киселине као активне супстанце за употребу у биоцидним производима, тип 2, 3, 4 и 5.</w:t>
      </w:r>
    </w:p>
    <w:p w14:paraId="03901444" w14:textId="11B6E6FB" w:rsidR="00520562" w:rsidRPr="009E2E9F" w:rsidRDefault="00520562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2021/348 </w:t>
      </w:r>
      <w:r w:rsidRPr="00520562">
        <w:rPr>
          <w:rFonts w:ascii="Times New Roman" w:hAnsi="Times New Roman" w:cs="Times New Roman"/>
          <w:sz w:val="24"/>
          <w:szCs w:val="24"/>
          <w:lang w:val="sr-Cyrl-RS"/>
        </w:rPr>
        <w:t>од 25. фебруара 2021. године о одобравању карбендазима као постојеће активне супстанце за употребу у биоцидним производима, тип 7 и 10.</w:t>
      </w:r>
    </w:p>
    <w:p w14:paraId="500D080F" w14:textId="7C3C432F" w:rsidR="009E2E9F" w:rsidRPr="009230C1" w:rsidRDefault="009E2E9F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2021/354 </w:t>
      </w:r>
      <w:r w:rsidRPr="009E2E9F">
        <w:rPr>
          <w:rFonts w:ascii="Times New Roman" w:hAnsi="Times New Roman" w:cs="Times New Roman"/>
          <w:sz w:val="24"/>
          <w:szCs w:val="24"/>
          <w:lang w:val="sr-Cyrl-RS"/>
        </w:rPr>
        <w:t>од 25. фебруара 2021. године о одлагању датума истека одобрења пропиконазола за употребу и биоцидним производима, тип 8.</w:t>
      </w:r>
    </w:p>
    <w:p w14:paraId="26B83E93" w14:textId="417CFCB0" w:rsidR="009230C1" w:rsidRPr="005A1CE3" w:rsidRDefault="009230C1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2021/355 </w:t>
      </w:r>
      <w:r w:rsidRPr="005A1CE3">
        <w:rPr>
          <w:rFonts w:ascii="Times New Roman" w:hAnsi="Times New Roman" w:cs="Times New Roman"/>
          <w:sz w:val="24"/>
          <w:szCs w:val="24"/>
          <w:lang w:val="sr-Cyrl-RS"/>
        </w:rPr>
        <w:t>од 25. фебруара 2021. године о националним мерама за спровођење прелазног бесплатног додељивања дозвола за емисију гасова са ефектом стаклене баште у складу са Чланом 11 (3) Директиве 2003/87/ЕС Европског парламента и Савета.</w:t>
      </w:r>
    </w:p>
    <w:p w14:paraId="1D2EFDB6" w14:textId="435DB255" w:rsidR="005A1CE3" w:rsidRPr="000936F5" w:rsidRDefault="005A1CE3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2021/364 </w:t>
      </w:r>
      <w:r w:rsidRPr="005A1CE3">
        <w:rPr>
          <w:rFonts w:ascii="Times New Roman" w:hAnsi="Times New Roman" w:cs="Times New Roman"/>
          <w:sz w:val="24"/>
          <w:szCs w:val="24"/>
          <w:lang w:val="sr-Cyrl-RS"/>
        </w:rPr>
        <w:t>од 26. фебруара 2021. године о одобравању употребе активног хлора произведеног из натријум-хлорида електролизом као активне супстанце у биоцидним производима, тип 1.</w:t>
      </w:r>
    </w:p>
    <w:p w14:paraId="7E281065" w14:textId="2C1E908E" w:rsidR="000936F5" w:rsidRPr="00DE5D6E" w:rsidRDefault="000936F5" w:rsidP="00DB72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2021/365 </w:t>
      </w:r>
      <w:r w:rsidRPr="00DE5D6E">
        <w:rPr>
          <w:rFonts w:ascii="Times New Roman" w:hAnsi="Times New Roman" w:cs="Times New Roman"/>
          <w:sz w:val="24"/>
          <w:szCs w:val="24"/>
          <w:lang w:val="sr-Cyrl-RS"/>
        </w:rPr>
        <w:t xml:space="preserve">од 26. фебруара 2021. године о одобравању </w:t>
      </w:r>
      <w:r w:rsidR="009378FB" w:rsidRPr="00DE5D6E"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употребе </w:t>
      </w:r>
      <w:r w:rsidRPr="00DE5D6E">
        <w:rPr>
          <w:rFonts w:ascii="Times New Roman" w:hAnsi="Times New Roman" w:cs="Times New Roman"/>
          <w:sz w:val="24"/>
          <w:szCs w:val="24"/>
          <w:lang w:val="sr-Cyrl-RS"/>
        </w:rPr>
        <w:t>активног хлора ослобођеног из хлороводоничне киселине</w:t>
      </w:r>
      <w:r w:rsidR="009378FB" w:rsidRPr="00DE5D6E">
        <w:rPr>
          <w:rFonts w:ascii="Times New Roman" w:hAnsi="Times New Roman" w:cs="Times New Roman"/>
          <w:sz w:val="24"/>
          <w:szCs w:val="24"/>
          <w:lang w:val="sr-Cyrl-RS"/>
        </w:rPr>
        <w:t xml:space="preserve"> као активне супстанце у биоцидним производима, тип 1.</w:t>
      </w:r>
    </w:p>
    <w:p w14:paraId="33794215" w14:textId="77777777" w:rsidR="00B42AE0" w:rsidRPr="00B42AE0" w:rsidRDefault="00B42AE0" w:rsidP="00B42AE0">
      <w:pPr>
        <w:jc w:val="both"/>
        <w:rPr>
          <w:lang w:val="sr-Cyrl-RS"/>
        </w:rPr>
      </w:pPr>
    </w:p>
    <w:p w14:paraId="4A724D5D" w14:textId="76A029ED" w:rsidR="00304177" w:rsidRDefault="00304177" w:rsidP="003041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Објављени извештаји:</w:t>
      </w:r>
    </w:p>
    <w:p w14:paraId="7975610E" w14:textId="5388F1AA" w:rsidR="00304177" w:rsidRDefault="00304177" w:rsidP="00304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4177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04177">
        <w:rPr>
          <w:rFonts w:ascii="Times New Roman" w:hAnsi="Times New Roman" w:cs="Times New Roman"/>
          <w:sz w:val="24"/>
          <w:szCs w:val="24"/>
          <w:lang w:val="sr-Cyrl-RS"/>
        </w:rPr>
        <w:t xml:space="preserve">елегираном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04177">
        <w:rPr>
          <w:rFonts w:ascii="Times New Roman" w:hAnsi="Times New Roman" w:cs="Times New Roman"/>
          <w:sz w:val="24"/>
          <w:szCs w:val="24"/>
          <w:lang w:val="sr-Cyrl-RS"/>
        </w:rPr>
        <w:t xml:space="preserve">редбом 2020/2174 од 22. децембра  2020. године којом су уведене Регулативе 1013/2006 о транспорту отпада, од 1. јануара 2021. године забрањен је извоз пластичног отпада из ЕУ у треће земље. Овом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04177">
        <w:rPr>
          <w:rFonts w:ascii="Times New Roman" w:hAnsi="Times New Roman" w:cs="Times New Roman"/>
          <w:sz w:val="24"/>
          <w:szCs w:val="24"/>
          <w:lang w:val="sr-Cyrl-RS"/>
        </w:rPr>
        <w:t>редбом се такође уводи и строжија контрола увоза отпада у циљу рециклаже ЕУ.</w:t>
      </w:r>
    </w:p>
    <w:p w14:paraId="47ABE23F" w14:textId="503634F1" w:rsidR="007E1071" w:rsidRDefault="007E1071" w:rsidP="00304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Европска комисија је 8. јануара објавила Извештај о спровођењу Директиве о максимално дозвољеним </w:t>
      </w:r>
      <w:r w:rsidR="00EF6CC0">
        <w:rPr>
          <w:rFonts w:ascii="Times New Roman" w:hAnsi="Times New Roman" w:cs="Times New Roman"/>
          <w:sz w:val="24"/>
          <w:szCs w:val="24"/>
          <w:lang w:val="sr-Cyrl-RS"/>
        </w:rPr>
        <w:t>емисијама штетних гасова (2016/2284), познате као „</w:t>
      </w:r>
      <w:r w:rsidR="00EF6CC0">
        <w:rPr>
          <w:rFonts w:ascii="Times New Roman" w:hAnsi="Times New Roman" w:cs="Times New Roman"/>
          <w:sz w:val="24"/>
          <w:szCs w:val="24"/>
        </w:rPr>
        <w:t>NEC</w:t>
      </w:r>
      <w:r w:rsidR="00EF6CC0">
        <w:rPr>
          <w:rFonts w:ascii="Times New Roman" w:hAnsi="Times New Roman" w:cs="Times New Roman"/>
          <w:sz w:val="24"/>
          <w:szCs w:val="24"/>
          <w:lang w:val="sr-Cyrl-RS"/>
        </w:rPr>
        <w:t>“ Директива.</w:t>
      </w:r>
    </w:p>
    <w:p w14:paraId="4A99F3BE" w14:textId="6689A787" w:rsidR="00EF6CC0" w:rsidRDefault="00EF6CC0" w:rsidP="00304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Председавање Португалије (од 1.01. до 30.06.2021. године) је на листи својих приоритета навело низ активности за помоћ у реализацији циљева Европског зеленог договора, међу којима најзначајније место има спровођење Акционог плана за успостављање одрживе и ресурсно ефикасне циркуларне економије.</w:t>
      </w:r>
    </w:p>
    <w:p w14:paraId="49ECC760" w14:textId="006748BA" w:rsidR="004B08EF" w:rsidRDefault="00CA6FE4" w:rsidP="00304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Достављена је нојновија студија Центра за студије европске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>CEPS-Centre for European Policy Studies</w:t>
      </w:r>
      <w:r>
        <w:rPr>
          <w:rFonts w:ascii="Times New Roman" w:hAnsi="Times New Roman" w:cs="Times New Roman"/>
          <w:sz w:val="24"/>
          <w:szCs w:val="24"/>
          <w:lang w:val="sr-Cyrl-RS"/>
        </w:rPr>
        <w:t>) под називом: „Циркуларна економија као могућност за опоравак Европске уније“.</w:t>
      </w:r>
    </w:p>
    <w:p w14:paraId="155DC10B" w14:textId="3F405610" w:rsidR="00CA6FE4" w:rsidRDefault="00CA6FE4" w:rsidP="00304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Достављена је белешка са 14. састанка, а у вези Директиве о индустријским емисијама (ИЕД)</w:t>
      </w:r>
      <w:r w:rsidR="0061047C">
        <w:rPr>
          <w:rFonts w:ascii="Times New Roman" w:hAnsi="Times New Roman" w:cs="Times New Roman"/>
          <w:sz w:val="24"/>
          <w:szCs w:val="24"/>
          <w:lang w:val="sr-Cyrl-RS"/>
        </w:rPr>
        <w:t xml:space="preserve">, Брисел, </w:t>
      </w:r>
      <w:r>
        <w:rPr>
          <w:rFonts w:ascii="Times New Roman" w:hAnsi="Times New Roman" w:cs="Times New Roman"/>
          <w:sz w:val="24"/>
          <w:szCs w:val="24"/>
          <w:lang w:val="sr-Cyrl-RS"/>
        </w:rPr>
        <w:t>14. октоб</w:t>
      </w:r>
      <w:r w:rsidR="0061047C">
        <w:rPr>
          <w:rFonts w:ascii="Times New Roman" w:hAnsi="Times New Roman" w:cs="Times New Roman"/>
          <w:sz w:val="24"/>
          <w:szCs w:val="24"/>
          <w:lang w:val="sr-Cyrl-RS"/>
        </w:rPr>
        <w:t>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61047C">
        <w:rPr>
          <w:rFonts w:ascii="Times New Roman" w:hAnsi="Times New Roman" w:cs="Times New Roman"/>
          <w:sz w:val="24"/>
          <w:szCs w:val="24"/>
          <w:lang w:val="sr-Cyrl-RS"/>
        </w:rPr>
        <w:t>9. година.</w:t>
      </w:r>
    </w:p>
    <w:p w14:paraId="11C20245" w14:textId="1D1B76F9" w:rsidR="0061047C" w:rsidRDefault="00014842" w:rsidP="00304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 је резиме одлука Европске комисије о одобрењима за стављање на тржиште</w:t>
      </w:r>
      <w:r w:rsidR="00073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супстанце које су наведене у Прилогу 14 Уредбе са бројем 1907/2006 Европског парламента и Савета у вези са регистрацијом, оценом, одобрењем и ограниченом употребом хемикалија (</w:t>
      </w:r>
      <w:r>
        <w:rPr>
          <w:rFonts w:ascii="Times New Roman" w:hAnsi="Times New Roman" w:cs="Times New Roman"/>
          <w:sz w:val="24"/>
          <w:szCs w:val="24"/>
        </w:rPr>
        <w:t>REACH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09FAB4F1" w14:textId="2FAD7209" w:rsidR="004320A6" w:rsidRDefault="004320A6" w:rsidP="00304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Достављени су Закључци о климатској и енергетској дипломатији, са састанка министара спољних послова земаља чланица ЕУ, одржаног 25. јануара.</w:t>
      </w:r>
    </w:p>
    <w:p w14:paraId="2BFC9851" w14:textId="54569749" w:rsidR="004320A6" w:rsidRDefault="004320A6" w:rsidP="00304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Достављена је Заједничка изјава Ф. Тимерманса, потпредседника и Ј. Борела, високог представника, Европске комисије поводом одлуке САД за поновно прикључење Париском споразуму.</w:t>
      </w:r>
    </w:p>
    <w:p w14:paraId="18F6C0DC" w14:textId="41B000F4" w:rsidR="00B42AD2" w:rsidRDefault="00B42AD2" w:rsidP="00304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Урсула фон дер Лајен, председница Европске комисије</w:t>
      </w:r>
      <w:r w:rsidR="0007395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26. јануара објавила (на маргинама Самита у Давосу), да ће Европска комисија предложити креирање Програма за спремност у одбрани од биолошких опасности (</w:t>
      </w:r>
      <w:r>
        <w:rPr>
          <w:rFonts w:ascii="Times New Roman" w:hAnsi="Times New Roman" w:cs="Times New Roman"/>
          <w:sz w:val="24"/>
          <w:szCs w:val="24"/>
        </w:rPr>
        <w:t>bio</w:t>
      </w:r>
      <w:r w:rsidRPr="00B42AD2">
        <w:rPr>
          <w:rFonts w:ascii="Times New Roman" w:hAnsi="Times New Roman" w:cs="Times New Roman"/>
          <w:sz w:val="24"/>
          <w:szCs w:val="24"/>
          <w:lang w:val="sr-Latn-RS"/>
        </w:rPr>
        <w:t>-defence</w:t>
      </w:r>
      <w:r>
        <w:rPr>
          <w:rFonts w:ascii="Times New Roman" w:hAnsi="Times New Roman" w:cs="Times New Roman"/>
          <w:sz w:val="24"/>
          <w:szCs w:val="24"/>
        </w:rPr>
        <w:t xml:space="preserve"> preparedness </w:t>
      </w:r>
      <w:r w:rsidRPr="00B42AD2">
        <w:rPr>
          <w:rFonts w:ascii="Times New Roman" w:hAnsi="Times New Roman" w:cs="Times New Roman"/>
          <w:sz w:val="24"/>
          <w:szCs w:val="24"/>
          <w:lang w:val="sr-Latn-RS"/>
        </w:rPr>
        <w:t>programme</w:t>
      </w:r>
      <w:r>
        <w:rPr>
          <w:rFonts w:ascii="Times New Roman" w:hAnsi="Times New Roman" w:cs="Times New Roman"/>
          <w:sz w:val="24"/>
          <w:szCs w:val="24"/>
          <w:lang w:val="sr-Cyrl-RS"/>
        </w:rPr>
        <w:t>) који ће бити базиран на јавно-приватном партнерству. Циљ програма је подизање спремности и повећања предвидљивости будућих пандемија.</w:t>
      </w:r>
    </w:p>
    <w:p w14:paraId="3938D7A5" w14:textId="4EE453A3" w:rsidR="0021209D" w:rsidRDefault="0016456C" w:rsidP="00212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 је други предлог компромисног решења председавања Португалије за Акциони програм за животну средину. Акциони програм обухвата оквир за спровођење климатских и еколошких циљева ЕУ, за период од 31. децембра 2030. године, као и обезбеђење спровођења циљева Европског зеленог договор</w:t>
      </w:r>
      <w:r w:rsidR="002120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696883" w14:textId="54EAA342" w:rsidR="00076909" w:rsidRPr="0021209D" w:rsidRDefault="00076909" w:rsidP="00212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Европска комисија је 5. марта објавила план даљих рестрикција употребе живе у ЕУ и у међународној трговини, који је отворен за сугестије и примедбе до 2. априла 2021. године. Европском стратегијом за смањење употребе живе из 2005. године, ЕУ је ускладила своје законодавство са Међународном М</w:t>
      </w:r>
      <w:r w:rsidR="00073951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намата конвенцијом којом су успостављене значајне рестрикције употребе овог тешког метала токсичног за људе и за животну средину. Жива је </w:t>
      </w:r>
      <w:r w:rsidR="000D5B81">
        <w:rPr>
          <w:rFonts w:ascii="Times New Roman" w:hAnsi="Times New Roman" w:cs="Times New Roman"/>
          <w:sz w:val="24"/>
          <w:szCs w:val="24"/>
          <w:lang w:val="sr-Cyrl-RS"/>
        </w:rPr>
        <w:t>још увек у употреби у стоматологији за амалгамска пуњења, као и у производњи мерних инструмената и сијалица.</w:t>
      </w:r>
    </w:p>
    <w:p w14:paraId="3DD2D1E8" w14:textId="716A300B" w:rsidR="00304177" w:rsidRDefault="00304177" w:rsidP="003041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Одржани састанци:</w:t>
      </w:r>
    </w:p>
    <w:bookmarkEnd w:id="1"/>
    <w:p w14:paraId="20AA9E35" w14:textId="59D5C4AA" w:rsidR="005D2CAB" w:rsidRPr="00BA336E" w:rsidRDefault="00537EC2" w:rsidP="0053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EC2">
        <w:rPr>
          <w:rFonts w:ascii="Times New Roman" w:hAnsi="Times New Roman" w:cs="Times New Roman"/>
          <w:sz w:val="24"/>
          <w:szCs w:val="24"/>
          <w:lang w:val="sr-Cyrl-RS"/>
        </w:rPr>
        <w:t>У организацији Центра за европску политику (</w:t>
      </w:r>
      <w:r>
        <w:rPr>
          <w:rFonts w:ascii="Times New Roman" w:hAnsi="Times New Roman" w:cs="Times New Roman"/>
          <w:sz w:val="24"/>
          <w:szCs w:val="24"/>
        </w:rPr>
        <w:t>EPC-European policy Centre</w:t>
      </w:r>
      <w:r w:rsidRPr="00537EC2">
        <w:rPr>
          <w:rFonts w:ascii="Times New Roman" w:hAnsi="Times New Roman" w:cs="Times New Roman"/>
          <w:sz w:val="24"/>
          <w:szCs w:val="24"/>
          <w:lang w:val="sr-Cyrl-RS"/>
        </w:rPr>
        <w:t>), 12. јануара одржан је вебинар под називом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„Пут у Глазгов на СОР26: Време за убрзавање глобалних напора за сузбијање климатских промена“.</w:t>
      </w:r>
    </w:p>
    <w:p w14:paraId="78E68592" w14:textId="50886482" w:rsidR="00BA336E" w:rsidRPr="0021209D" w:rsidRDefault="00BA336E" w:rsidP="0053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организацији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36E">
        <w:rPr>
          <w:rFonts w:ascii="Times New Roman" w:hAnsi="Times New Roman" w:cs="Times New Roman"/>
          <w:i/>
          <w:iCs/>
          <w:sz w:val="24"/>
          <w:szCs w:val="24"/>
        </w:rPr>
        <w:t>Friends of Europe</w:t>
      </w:r>
      <w:r>
        <w:rPr>
          <w:rFonts w:ascii="Times New Roman" w:hAnsi="Times New Roman" w:cs="Times New Roman"/>
          <w:sz w:val="24"/>
          <w:szCs w:val="24"/>
          <w:lang w:val="sr-Cyrl-RS"/>
        </w:rPr>
        <w:t>, 28. јануара 2021. године одржан је вебинар под називом: „Пластика у циркуларној економији – пут напред“ .</w:t>
      </w:r>
    </w:p>
    <w:p w14:paraId="1B84BF66" w14:textId="2D91968F" w:rsidR="0021209D" w:rsidRPr="00590A95" w:rsidRDefault="0021209D" w:rsidP="0053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 је позив Европске агенције за хемикалије на Радионицу о безбедности хемикалија чије је одржавање предбиђено за 24. фебруар 2021. године . Радионица је организована за земље кориснице </w:t>
      </w:r>
      <w:r w:rsidR="003D4D0C">
        <w:rPr>
          <w:rFonts w:ascii="Times New Roman" w:hAnsi="Times New Roman" w:cs="Times New Roman"/>
          <w:sz w:val="24"/>
          <w:szCs w:val="24"/>
          <w:lang w:val="sr-Cyrl-RS"/>
        </w:rPr>
        <w:t>Инструмента за предприступну помоћ (ИПА), а у циљу припреме за обавезе у спровођењу регулатива о безбедности хемикалија, након чланства у ЕУ.</w:t>
      </w:r>
    </w:p>
    <w:p w14:paraId="6F1CF0B0" w14:textId="444A95AF" w:rsidR="00590A95" w:rsidRDefault="00590A95" w:rsidP="00590A95">
      <w:pPr>
        <w:rPr>
          <w:rFonts w:ascii="Times New Roman" w:hAnsi="Times New Roman" w:cs="Times New Roman"/>
          <w:sz w:val="24"/>
          <w:szCs w:val="24"/>
        </w:rPr>
      </w:pPr>
    </w:p>
    <w:p w14:paraId="7C5D3D40" w14:textId="184D0C80" w:rsidR="00590A95" w:rsidRPr="00C368CF" w:rsidRDefault="003D4D0C" w:rsidP="00590A9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6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Фебруар</w:t>
      </w:r>
      <w:r w:rsidR="00C36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C36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2021. година</w:t>
      </w:r>
    </w:p>
    <w:p w14:paraId="167C49C6" w14:textId="7123896C" w:rsidR="003D4D0C" w:rsidRDefault="003D4D0C" w:rsidP="003D4D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Усвојени ЕУ прописи:</w:t>
      </w:r>
    </w:p>
    <w:p w14:paraId="7B5BDDBB" w14:textId="173CB1C6" w:rsidR="003B36D5" w:rsidRDefault="003B36D5" w:rsidP="003B36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2021/173 </w:t>
      </w:r>
      <w:r w:rsidRPr="003B36D5">
        <w:rPr>
          <w:rFonts w:ascii="Times New Roman" w:hAnsi="Times New Roman" w:cs="Times New Roman"/>
          <w:sz w:val="24"/>
          <w:szCs w:val="24"/>
          <w:lang w:val="sr-Cyrl-RS"/>
        </w:rPr>
        <w:t xml:space="preserve">од 12. фебруара 2021. године о успостављању Европске извршне агенције за климу, инфраструктуру и животну средину, Европске извршне агенције за истраживање, Европског савета за иновације и Извршне агенције за мала и средња предузећа, Европске агенције за истраживање Извршне агенције Савета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B36D5">
        <w:rPr>
          <w:rFonts w:ascii="Times New Roman" w:hAnsi="Times New Roman" w:cs="Times New Roman"/>
          <w:sz w:val="24"/>
          <w:szCs w:val="24"/>
          <w:lang w:val="sr-Cyrl-RS"/>
        </w:rPr>
        <w:t xml:space="preserve">вропска извршна агенција за образовање и културу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уки</w:t>
      </w:r>
      <w:r w:rsidRPr="003B36D5">
        <w:rPr>
          <w:rFonts w:ascii="Times New Roman" w:hAnsi="Times New Roman" w:cs="Times New Roman"/>
          <w:sz w:val="24"/>
          <w:szCs w:val="24"/>
          <w:lang w:val="sr-Cyrl-RS"/>
        </w:rPr>
        <w:t>дање имплементационих одлука 2013/801/ЕУ, 2013/771/ЕУ, 2013/778/ЕУ, 2013/779/ЕУ, 2013/776/ЕУ и 2013/770/ЕУ.</w:t>
      </w:r>
    </w:p>
    <w:p w14:paraId="58433925" w14:textId="2DC1B832" w:rsidR="00D376F5" w:rsidRDefault="00D376F5" w:rsidP="003B36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2021/277 </w:t>
      </w:r>
      <w:r w:rsidRPr="005119AF">
        <w:rPr>
          <w:rFonts w:ascii="Times New Roman" w:hAnsi="Times New Roman" w:cs="Times New Roman"/>
          <w:sz w:val="24"/>
          <w:szCs w:val="24"/>
          <w:lang w:val="sr-Cyrl-RS"/>
        </w:rPr>
        <w:t xml:space="preserve">од 16. децембра 2020. године о измени Прилога 1 Уредбе са бројем 2019/1021 Европског парламента и Савета о постојаним органским загађивачима у погледу </w:t>
      </w:r>
      <w:r w:rsidR="005119AF" w:rsidRPr="005119AF">
        <w:rPr>
          <w:rFonts w:ascii="Times New Roman" w:hAnsi="Times New Roman" w:cs="Times New Roman"/>
          <w:sz w:val="24"/>
          <w:szCs w:val="24"/>
          <w:lang w:val="sr-Cyrl-RS"/>
        </w:rPr>
        <w:t>пентаклорофенола и естара.</w:t>
      </w:r>
    </w:p>
    <w:p w14:paraId="5D3A0E32" w14:textId="33A7D1BC" w:rsidR="00081A04" w:rsidRPr="00081A04" w:rsidRDefault="00081A04" w:rsidP="003B36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2021/327 </w:t>
      </w:r>
      <w:r w:rsidRPr="00081A04">
        <w:rPr>
          <w:rFonts w:ascii="Times New Roman" w:hAnsi="Times New Roman" w:cs="Times New Roman"/>
          <w:sz w:val="24"/>
          <w:szCs w:val="24"/>
          <w:lang w:val="sr-Cyrl-RS"/>
        </w:rPr>
        <w:t xml:space="preserve">од 23. фебруара 2021. године </w:t>
      </w:r>
      <w:r w:rsidR="00E317A4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081A04">
        <w:rPr>
          <w:rFonts w:ascii="Times New Roman" w:hAnsi="Times New Roman" w:cs="Times New Roman"/>
          <w:sz w:val="24"/>
          <w:szCs w:val="24"/>
          <w:lang w:val="sr-Cyrl-RS"/>
        </w:rPr>
        <w:t>одла</w:t>
      </w:r>
      <w:r w:rsidR="00BC2B02">
        <w:rPr>
          <w:rFonts w:ascii="Times New Roman" w:hAnsi="Times New Roman" w:cs="Times New Roman"/>
          <w:sz w:val="24"/>
          <w:szCs w:val="24"/>
          <w:lang w:val="sr-Cyrl-RS"/>
        </w:rPr>
        <w:t>гању</w:t>
      </w:r>
      <w:r w:rsidRPr="00081A04">
        <w:rPr>
          <w:rFonts w:ascii="Times New Roman" w:hAnsi="Times New Roman" w:cs="Times New Roman"/>
          <w:sz w:val="24"/>
          <w:szCs w:val="24"/>
          <w:lang w:val="sr-Cyrl-RS"/>
        </w:rPr>
        <w:t xml:space="preserve"> датум</w:t>
      </w:r>
      <w:r w:rsidR="00BC2B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81A04">
        <w:rPr>
          <w:rFonts w:ascii="Times New Roman" w:hAnsi="Times New Roman" w:cs="Times New Roman"/>
          <w:sz w:val="24"/>
          <w:szCs w:val="24"/>
          <w:lang w:val="sr-Cyrl-RS"/>
        </w:rPr>
        <w:t xml:space="preserve"> истека одобрења метофлутрина за употребу у биоцидним производима тип 18.</w:t>
      </w:r>
    </w:p>
    <w:p w14:paraId="2742B6DB" w14:textId="4414E44E" w:rsidR="003D4D0C" w:rsidRDefault="003D4D0C" w:rsidP="003D4D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Објављени извештаји:</w:t>
      </w:r>
    </w:p>
    <w:p w14:paraId="70876BE2" w14:textId="12191890" w:rsidR="00C368CF" w:rsidRDefault="00C368CF" w:rsidP="00C36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8CF">
        <w:rPr>
          <w:rFonts w:ascii="Times New Roman" w:hAnsi="Times New Roman" w:cs="Times New Roman"/>
          <w:sz w:val="24"/>
          <w:szCs w:val="24"/>
          <w:lang w:val="sr-Cyrl-RS"/>
        </w:rPr>
        <w:t>Достављено је обавештење Европског суда правде о пресуди против Мађарске због непоштовања европских прописа о квалитету ваздуха и константном, вишегодишњем регистровању виших вредности од дозвољених, за РМ10 честица, у више региона и градова Мађарске. Суд је одбио аргумент мађарске да је на висок ниво финих честица у ваздуху битно утицало прекогранично загађење.</w:t>
      </w:r>
    </w:p>
    <w:p w14:paraId="67D013DE" w14:textId="4392B5EC" w:rsidR="007E2D7F" w:rsidRDefault="007E2D7F" w:rsidP="00C36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Европска агенција за животну средину (</w:t>
      </w:r>
      <w:r w:rsidR="00DA06B1">
        <w:rPr>
          <w:rFonts w:ascii="Times New Roman" w:hAnsi="Times New Roman" w:cs="Times New Roman"/>
          <w:sz w:val="24"/>
          <w:szCs w:val="24"/>
        </w:rPr>
        <w:t>EEA-European Environmental Agency</w:t>
      </w:r>
      <w:r>
        <w:rPr>
          <w:rFonts w:ascii="Times New Roman" w:hAnsi="Times New Roman" w:cs="Times New Roman"/>
          <w:sz w:val="24"/>
          <w:szCs w:val="24"/>
          <w:lang w:val="sr-Cyrl-RS"/>
        </w:rPr>
        <w:t>), објавила је 8. фебруара Извештај о утицају брана на водене токове и еко-системе у Европи. У Извештају је истакнуто да ометањем слободе водених токова, организама и сендмената, изградњом брана на рекама, изазване су значајне промене на 20% површинских вода Европе. Такође је наглашено да су се до сада углавном пратили ефекти брана на великим рекама на еко-системе и занемаривао се исто тако значајан негативан утицај брана на мањим воденим токовима.</w:t>
      </w:r>
    </w:p>
    <w:p w14:paraId="778BFE01" w14:textId="28937C04" w:rsidR="0039524D" w:rsidRDefault="0039524D" w:rsidP="00C36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 је Извештај Интер-групе за климатске промене, био-диверзитет и одрживи развој Европског парламента са скупа под називом: „Повећање одговорности произвођача као начин за питање загађења микро-пластиком“, одржаног 27. јануара 2021. године.</w:t>
      </w:r>
    </w:p>
    <w:p w14:paraId="3D09631F" w14:textId="38A6261C" w:rsidR="00077C7D" w:rsidRDefault="00077C7D" w:rsidP="00C36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Пленарној седници, Европског парламента , 10. фебруара усвојен је нови Акциони план циркуларне економије. Циљ новог Акционог плана је престанак употребе до сада примењиваног модела линеарне економије (производња-потрошња-отпад) и креирање кружног тока сировина кроз успостављање тржишта за секундарне сировине и давања подстицаја за употребу рециклираних материјала.</w:t>
      </w:r>
    </w:p>
    <w:p w14:paraId="4FC45D73" w14:textId="3C037357" w:rsidR="00C46B35" w:rsidRPr="00B5290B" w:rsidRDefault="00C46B35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 је други позив Европске агенције за хемикалије (</w:t>
      </w:r>
      <w:r>
        <w:rPr>
          <w:rFonts w:ascii="Times New Roman" w:hAnsi="Times New Roman" w:cs="Times New Roman"/>
          <w:sz w:val="24"/>
          <w:szCs w:val="24"/>
        </w:rPr>
        <w:t>ECHA – European Chemicals Agency</w:t>
      </w:r>
      <w:r>
        <w:rPr>
          <w:rFonts w:ascii="Times New Roman" w:hAnsi="Times New Roman" w:cs="Times New Roman"/>
          <w:sz w:val="24"/>
          <w:szCs w:val="24"/>
          <w:lang w:val="sr-Cyrl-RS"/>
        </w:rPr>
        <w:t>) у име Европске комисије (ЕК), на радионицу у оквиру посебног пројекта подизања спремности земаља кандидата за чланство у ЕУ,</w:t>
      </w:r>
      <w:r w:rsidRPr="00C46B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посебни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акцентом на област безбедности хемикалија. Одржавање радионице планирано је за 24. фебруар 2021. године</w:t>
      </w:r>
      <w:r w:rsidR="00B5290B">
        <w:rPr>
          <w:rFonts w:ascii="Times New Roman" w:hAnsi="Times New Roman" w:cs="Times New Roman"/>
          <w:sz w:val="24"/>
          <w:szCs w:val="24"/>
        </w:rPr>
        <w:t>.</w:t>
      </w:r>
    </w:p>
    <w:p w14:paraId="6B6CA353" w14:textId="632473EA" w:rsidR="00B5290B" w:rsidRDefault="00B5290B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 је обавештење Европске комисије о одобреним пројектима програма „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за животну средину и климатске акције. Вредност 12 одобрених пројеката у 11 земаља чланица (Белгија, Француска, Немачка, Мађарска, Ирска, Италија, Летонија, Холандија, Пољска, Португалија и Словачка), износи 121 милион евра, што је за 20% више него што је била вредност одобрених пројеката у 2020. години. </w:t>
      </w:r>
    </w:p>
    <w:p w14:paraId="087FC3E9" w14:textId="0E0C6169" w:rsidR="0041051A" w:rsidRDefault="0041051A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Заједничка декларација Европског парламента, Савета и Комисије о успостављању захтева за извештавање како би се омогућило издавање обвезница које доприносе еколошким циљевима за Следеће Генерације ЕУ.</w:t>
      </w:r>
    </w:p>
    <w:p w14:paraId="0C01A222" w14:textId="20450F62" w:rsidR="00DA06B1" w:rsidRDefault="00DA06B1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маргинама Скупштине за животну средину, Уједињених нација (УН), 22. фебруара у Најробију (Кенија), Европска комисија је лансирала Глобалну алијансу за циркуларну економију и ефикасност ресурса, у сарадњ</w:t>
      </w:r>
      <w:r w:rsidR="002864CB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Програ</w:t>
      </w:r>
      <w:r w:rsidR="00104601">
        <w:rPr>
          <w:rFonts w:ascii="Times New Roman" w:hAnsi="Times New Roman" w:cs="Times New Roman"/>
          <w:sz w:val="24"/>
          <w:szCs w:val="24"/>
          <w:lang w:val="sr-Cyrl-RS"/>
        </w:rPr>
        <w:t>мом за животну средину  УН (</w:t>
      </w:r>
      <w:r w:rsidR="00104601">
        <w:rPr>
          <w:rFonts w:ascii="Times New Roman" w:hAnsi="Times New Roman" w:cs="Times New Roman"/>
          <w:sz w:val="24"/>
          <w:szCs w:val="24"/>
        </w:rPr>
        <w:t xml:space="preserve">UNEP </w:t>
      </w:r>
      <w:r w:rsidR="00E466CD">
        <w:rPr>
          <w:rFonts w:ascii="Times New Roman" w:hAnsi="Times New Roman" w:cs="Times New Roman"/>
          <w:sz w:val="24"/>
          <w:szCs w:val="24"/>
        </w:rPr>
        <w:t>–</w:t>
      </w:r>
      <w:r w:rsidR="00104601">
        <w:rPr>
          <w:rFonts w:ascii="Times New Roman" w:hAnsi="Times New Roman" w:cs="Times New Roman"/>
          <w:sz w:val="24"/>
          <w:szCs w:val="24"/>
        </w:rPr>
        <w:t xml:space="preserve"> </w:t>
      </w:r>
      <w:r w:rsidR="00E466CD">
        <w:rPr>
          <w:rFonts w:ascii="Times New Roman" w:hAnsi="Times New Roman" w:cs="Times New Roman"/>
          <w:sz w:val="24"/>
          <w:szCs w:val="24"/>
        </w:rPr>
        <w:t xml:space="preserve">United Nations Environmental </w:t>
      </w:r>
      <w:r w:rsidR="00E466CD" w:rsidRPr="00E466CD">
        <w:rPr>
          <w:rFonts w:ascii="Times New Roman" w:hAnsi="Times New Roman" w:cs="Times New Roman"/>
          <w:sz w:val="24"/>
          <w:szCs w:val="24"/>
          <w:lang w:val="sr-Latn-RS"/>
        </w:rPr>
        <w:t>Programme</w:t>
      </w:r>
      <w:r w:rsidR="00104601" w:rsidRPr="00E466CD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104601">
        <w:rPr>
          <w:rFonts w:ascii="Times New Roman" w:hAnsi="Times New Roman" w:cs="Times New Roman"/>
          <w:sz w:val="24"/>
          <w:szCs w:val="24"/>
          <w:lang w:val="sr-Cyrl-RS"/>
        </w:rPr>
        <w:t xml:space="preserve"> и уз координацију Организације за развој индустрије УН (</w:t>
      </w:r>
      <w:r w:rsidR="00E466CD">
        <w:rPr>
          <w:rFonts w:ascii="Times New Roman" w:hAnsi="Times New Roman" w:cs="Times New Roman"/>
          <w:sz w:val="24"/>
          <w:szCs w:val="24"/>
        </w:rPr>
        <w:t xml:space="preserve">UNIDO-United Nations Industrial Development </w:t>
      </w:r>
      <w:r w:rsidR="00E466CD" w:rsidRPr="00E466CD">
        <w:rPr>
          <w:rFonts w:ascii="Times New Roman" w:hAnsi="Times New Roman" w:cs="Times New Roman"/>
          <w:sz w:val="24"/>
          <w:szCs w:val="24"/>
          <w:lang w:val="sr-Latn-RS"/>
        </w:rPr>
        <w:t>Organisation</w:t>
      </w:r>
      <w:r w:rsidR="00104601" w:rsidRPr="00E466CD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1046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6BE43E" w14:textId="1127CE6A" w:rsidR="005C401F" w:rsidRDefault="005C401F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предлог Осмог акционог програма за животну средину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40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EAP-8</w:t>
      </w:r>
      <w:r w:rsidRPr="005C40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Environmental Action </w:t>
      </w:r>
      <w:r w:rsidRPr="00C13853">
        <w:rPr>
          <w:rFonts w:ascii="Times New Roman" w:hAnsi="Times New Roman" w:cs="Times New Roman"/>
          <w:sz w:val="24"/>
          <w:szCs w:val="24"/>
          <w:lang w:val="sr-Latn-RS"/>
        </w:rPr>
        <w:t>Programme</w:t>
      </w:r>
      <w:r>
        <w:rPr>
          <w:rFonts w:ascii="Times New Roman" w:hAnsi="Times New Roman" w:cs="Times New Roman"/>
          <w:sz w:val="24"/>
          <w:szCs w:val="24"/>
          <w:lang w:val="sr-Cyrl-RS"/>
        </w:rPr>
        <w:t>), Европске комисије од 14. октобра 2020. године, португалско председавање је сачинило компромисни предлог, чије разматрање се очекује од 23. фебруара у радним телима Савета ЕУ.</w:t>
      </w:r>
    </w:p>
    <w:p w14:paraId="3F2676B3" w14:textId="1591FAB7" w:rsidR="00C13853" w:rsidRDefault="00C13853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Достављена је белешка са састанка одржаног </w:t>
      </w:r>
      <w:r w:rsidR="002C3C2B">
        <w:rPr>
          <w:rFonts w:ascii="Times New Roman" w:hAnsi="Times New Roman" w:cs="Times New Roman"/>
          <w:sz w:val="24"/>
          <w:szCs w:val="24"/>
          <w:lang w:val="sr-Cyrl-RS"/>
        </w:rPr>
        <w:t>25. јануара 2021. године, а у вези са Директивом о индустријским емисијама.</w:t>
      </w:r>
    </w:p>
    <w:p w14:paraId="1766A71E" w14:textId="32B03106" w:rsidR="00C13853" w:rsidRDefault="002C3C2B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 је обавештење Европске комисије од 18. фебруара 2021. године о покретању тужби, Европском суду правде, против: Словачке због непоштовања прописа у вези квалитета ваздуха; Немачке због непоштовања правила заштите природних станишта животиња; Пољске због непоштовања прописа загађења буком на основним путним правцима и против Словеније због непоштовања прописа о третирању отпадних вода.</w:t>
      </w:r>
    </w:p>
    <w:p w14:paraId="2C55854D" w14:textId="12AD3BCD" w:rsidR="00946FD8" w:rsidRDefault="00946FD8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 је допис</w:t>
      </w:r>
      <w:r>
        <w:rPr>
          <w:rFonts w:ascii="Times New Roman" w:hAnsi="Times New Roman" w:cs="Times New Roman"/>
          <w:sz w:val="24"/>
          <w:szCs w:val="24"/>
        </w:rPr>
        <w:t xml:space="preserve"> Zero Waste Europe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невладиних организација, заједно са Удружењем индустрије рециклаже којим захтевају од Европске комисије успостављење стандарда са значајнијим процентом рециклиране пластике у финалним производима. Такође се инсистира на укидању флексибилног метода израчунавања „балансне масе“ рециклираног садржаја којим се блокира виши степен амбициозности.</w:t>
      </w:r>
    </w:p>
    <w:p w14:paraId="1ADBE6DD" w14:textId="7D41A41B" w:rsidR="0003291E" w:rsidRDefault="0003291E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Достављено је обавештење Европске комисије, од 23. фебруара о предлогу за покретање 10 нових европских партнерстава између Европске уније, земаља чланица и индустрије, у циљу убрзања зелене дигиталне транзиције. Планирана је мобилизација ресурса за ефикасну употребу дигиталних технологија у реализацији циљева Европског зеленог договора и успостављања зелене, одрживе и чисте економије. Предвиђено је да Европска комисија </w:t>
      </w:r>
      <w:r w:rsidR="00297AB0">
        <w:rPr>
          <w:rFonts w:ascii="Times New Roman" w:hAnsi="Times New Roman" w:cs="Times New Roman"/>
          <w:sz w:val="24"/>
          <w:szCs w:val="24"/>
          <w:lang w:val="sr-Cyrl-RS"/>
        </w:rPr>
        <w:t>алоцира 10 милијарди евра уз обавезу партнера да алоцирају барем исти износ као и Европска комисија. Предлози партнерстава односе се на области здравља, циркуларне и био-економије „чистог“ водоника и авијације, европских железница и иновација.</w:t>
      </w:r>
    </w:p>
    <w:p w14:paraId="5A4198F7" w14:textId="704F076A" w:rsidR="00CB343E" w:rsidRDefault="00CB343E" w:rsidP="00C46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Достављен је позив Европске агенције за хемикалије на Радионицу о безбедности хемикалија чије одржавање је предвиђено за 24. фебруар 2021. године. Радионица је организована за земље кориснице Инструмента за предприступну помоћ (ИПА), а у циљу припреме за обавезе у спровођењу регулатива о безбедности хемикалија, након чланства у ЕУ.</w:t>
      </w:r>
    </w:p>
    <w:p w14:paraId="7A05E8E4" w14:textId="66A15BCF" w:rsidR="00C46B35" w:rsidRDefault="00A45FB2" w:rsidP="003D4D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Европска комисија је 24. фебруара објавила нову Стратегију прилагођавања на климатске промене којом се поред већ познатих елемената борбе против климатских промена уводи и елемент јачања европских климатских активности на међународном плану.</w:t>
      </w:r>
    </w:p>
    <w:p w14:paraId="574C0E2E" w14:textId="32834E8F" w:rsidR="00926820" w:rsidRPr="005D6323" w:rsidRDefault="00926820" w:rsidP="003D4D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Европска комисија је 18. фебруара 2021. године објавила редован месечни преглед случајева кршења прописа ЕУ (</w:t>
      </w:r>
      <w:r w:rsidRPr="00926820">
        <w:rPr>
          <w:rFonts w:ascii="Times New Roman" w:hAnsi="Times New Roman" w:cs="Times New Roman"/>
          <w:i/>
          <w:iCs/>
          <w:sz w:val="24"/>
          <w:szCs w:val="24"/>
        </w:rPr>
        <w:t>Infringement Package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D759B04" w14:textId="722B165D" w:rsidR="003D4D0C" w:rsidRDefault="003D4D0C" w:rsidP="003D4D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Одржани састанци:</w:t>
      </w:r>
    </w:p>
    <w:p w14:paraId="4C3FC533" w14:textId="39D26CA9" w:rsidR="00590A95" w:rsidRDefault="003D4D0C" w:rsidP="00C36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састанку амбасадора земаља чланица (</w:t>
      </w:r>
      <w:r w:rsidR="00C368CF" w:rsidRPr="00C368CF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Coreper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3. фебруара постигнута је сагласност за иницијативу формирања Глобалне алијансе за циркуларну економију и ефикасност коришћења ресурса, на маргинама Скупштине за животну средину, Уједињених нација (УН) чије одржавање је предвиђено за 22. и 23. </w:t>
      </w:r>
      <w:r w:rsidR="00C368CF">
        <w:rPr>
          <w:rFonts w:ascii="Times New Roman" w:hAnsi="Times New Roman" w:cs="Times New Roman"/>
          <w:sz w:val="24"/>
          <w:szCs w:val="24"/>
          <w:lang w:val="sr-Cyrl-RS"/>
        </w:rPr>
        <w:t>фебруар у Најробију (Кенија).</w:t>
      </w:r>
    </w:p>
    <w:p w14:paraId="589F5860" w14:textId="12C764D5" w:rsidR="00523465" w:rsidRDefault="00523465" w:rsidP="00C36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медијске мреже </w:t>
      </w:r>
      <w:r w:rsidR="005D5E13" w:rsidRPr="00A31AA0">
        <w:rPr>
          <w:rFonts w:ascii="Times New Roman" w:hAnsi="Times New Roman" w:cs="Times New Roman"/>
          <w:sz w:val="24"/>
          <w:szCs w:val="24"/>
          <w:lang w:val="sr-Latn-RS"/>
        </w:rPr>
        <w:t>Euractiv</w:t>
      </w:r>
      <w:r>
        <w:rPr>
          <w:rFonts w:ascii="Times New Roman" w:hAnsi="Times New Roman" w:cs="Times New Roman"/>
          <w:sz w:val="24"/>
          <w:szCs w:val="24"/>
          <w:lang w:val="sr-Cyrl-RS"/>
        </w:rPr>
        <w:t>, 4. фебруара је одржана видео дебата под називом „Стратегија ЕЕА-Еионет од 2021 до 2030: Како ћемо допринети европским еколошким и климатским амбицијама?“.</w:t>
      </w:r>
    </w:p>
    <w:p w14:paraId="0673FA20" w14:textId="7F3E894B" w:rsidR="00A31AA0" w:rsidRDefault="00A31AA0" w:rsidP="00C36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медијске </w:t>
      </w:r>
      <w:r w:rsidRPr="00A31AA0">
        <w:rPr>
          <w:rFonts w:ascii="Times New Roman" w:hAnsi="Times New Roman" w:cs="Times New Roman"/>
          <w:sz w:val="24"/>
          <w:szCs w:val="24"/>
          <w:lang w:val="sr-Latn-RS"/>
        </w:rPr>
        <w:t>мреже Euractiv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одржана је видео дебата под називом „Без емисија угљен-диоксида: Како ЕУ и Кина могу сарађивати у глобалној борби против климатских промена?“</w:t>
      </w:r>
    </w:p>
    <w:p w14:paraId="1D260D04" w14:textId="67707F80" w:rsidR="00B167DA" w:rsidRDefault="00B167DA" w:rsidP="00C36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орагнизацији Франца Боговича, председавајућег Радне групе за биоекономију, Интергрупе за климатске промене, био-диверзитет и одрживи развој, Европског парламента, 24. гебруара одржан је други део међународне конференције под називом: „Повећање одговорности произвођача, као начин за решење проблема загађења микро-пластиком“.</w:t>
      </w:r>
    </w:p>
    <w:p w14:paraId="61D83CDF" w14:textId="365377C2" w:rsidR="00837FF0" w:rsidRDefault="00837FF0" w:rsidP="00837F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260E71" w14:textId="6C34C67E" w:rsidR="00837FF0" w:rsidRDefault="00837FF0" w:rsidP="00837F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37F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Март, 2021. година</w:t>
      </w:r>
    </w:p>
    <w:p w14:paraId="53EA9CAC" w14:textId="7D820E69" w:rsidR="00837FF0" w:rsidRDefault="00837FF0" w:rsidP="00837FF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Усвојени ЕУ прописи:</w:t>
      </w:r>
    </w:p>
    <w:p w14:paraId="74610CBA" w14:textId="03A75892" w:rsidR="00D031C5" w:rsidRPr="00430723" w:rsidRDefault="00D031C5" w:rsidP="00D031C5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lang w:val="sr-Cyrl-RS"/>
        </w:rPr>
        <w:t>2021/</w:t>
      </w:r>
      <w:r w:rsidRPr="00D031C5">
        <w:rPr>
          <w:rFonts w:ascii="Times New Roman" w:hAnsi="Times New Roman" w:cs="Times New Roman"/>
          <w:b/>
          <w:bCs/>
          <w:lang w:val="sr-Cyrl-RS"/>
        </w:rPr>
        <w:t>368</w:t>
      </w:r>
      <w:r w:rsidRPr="00D031C5">
        <w:rPr>
          <w:rFonts w:ascii="Times New Roman" w:hAnsi="Times New Roman" w:cs="Times New Roman"/>
          <w:lang w:val="sr-Cyrl-RS"/>
        </w:rPr>
        <w:t xml:space="preserve"> од 1. марта 2021. године о давању одобрења Уније за појединачни биоцидни производ „</w:t>
      </w:r>
      <w:r w:rsidRPr="00D031C5">
        <w:rPr>
          <w:rFonts w:ascii="Times New Roman" w:hAnsi="Times New Roman" w:cs="Times New Roman"/>
          <w:i/>
          <w:iCs/>
        </w:rPr>
        <w:t>Aero Sense Aircraft Insecticide ASD</w:t>
      </w:r>
      <w:r w:rsidRPr="00D031C5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</w:rPr>
        <w:t>.</w:t>
      </w:r>
    </w:p>
    <w:p w14:paraId="625328F0" w14:textId="31864F34" w:rsidR="00430723" w:rsidRPr="000126B6" w:rsidRDefault="00430723" w:rsidP="000D74AD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lang w:val="sr-Cyrl-RS"/>
        </w:rPr>
        <w:t xml:space="preserve">2021/407 </w:t>
      </w:r>
      <w:r w:rsidRPr="00430723">
        <w:rPr>
          <w:rFonts w:ascii="Times New Roman" w:hAnsi="Times New Roman" w:cs="Times New Roman"/>
          <w:lang w:val="sr-Cyrl-RS"/>
        </w:rPr>
        <w:t>од 3. новембра 2020. године о измени Уредбе са бројем 528/2012 Европског парламента и Савета ради укључивања лимунске киселине као активне супстанце у Прилог 1.</w:t>
      </w:r>
    </w:p>
    <w:p w14:paraId="1C875685" w14:textId="2A6B492F" w:rsidR="000126B6" w:rsidRPr="0049753A" w:rsidRDefault="000126B6" w:rsidP="000D74AD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lang w:val="sr-Cyrl-RS"/>
        </w:rPr>
        <w:t xml:space="preserve">2021/456 </w:t>
      </w:r>
      <w:r w:rsidRPr="000126B6">
        <w:rPr>
          <w:rFonts w:ascii="Times New Roman" w:hAnsi="Times New Roman" w:cs="Times New Roman"/>
          <w:lang w:val="sr-Cyrl-RS"/>
        </w:rPr>
        <w:t>од 12. марта 2021. године о измени Одлуке о спровођењу (ЕУ) 2020/1604 у погледу одређивања референтних вредности за одређене увознике и произвођаче за период од 1. јануара 2021. године до 31. децембра 2023. године.</w:t>
      </w:r>
    </w:p>
    <w:p w14:paraId="4DE5D9EA" w14:textId="167FA724" w:rsidR="0049753A" w:rsidRPr="007A7F10" w:rsidRDefault="0049753A" w:rsidP="000D74AD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 xml:space="preserve">Уредба </w:t>
      </w:r>
      <w:r w:rsidR="00C642C4">
        <w:rPr>
          <w:rFonts w:ascii="Times New Roman" w:hAnsi="Times New Roman" w:cs="Times New Roman"/>
          <w:b/>
          <w:bCs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lang w:val="sr-Cyrl-RS"/>
        </w:rPr>
        <w:t>2021/</w:t>
      </w:r>
      <w:r w:rsidR="00AE1ED0">
        <w:rPr>
          <w:rFonts w:ascii="Times New Roman" w:hAnsi="Times New Roman" w:cs="Times New Roman"/>
          <w:b/>
          <w:bCs/>
          <w:lang w:val="sr-Cyrl-RS"/>
        </w:rPr>
        <w:t xml:space="preserve">525 </w:t>
      </w:r>
      <w:r w:rsidR="00AE1ED0" w:rsidRPr="00AE1ED0">
        <w:rPr>
          <w:rFonts w:ascii="Times New Roman" w:hAnsi="Times New Roman" w:cs="Times New Roman"/>
          <w:lang w:val="sr-Cyrl-RS"/>
        </w:rPr>
        <w:t>од 19. октобра 2020. године о измени Прилога 2 и 3 Уредбе 525/2012 Европског парламента и Савета ЕУ за стављање на тржиште и употребу биоцидних производа.</w:t>
      </w:r>
    </w:p>
    <w:p w14:paraId="2EB7254F" w14:textId="1923D2BF" w:rsidR="007A7F10" w:rsidRPr="00593217" w:rsidRDefault="007A7F10" w:rsidP="000D74AD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lang w:val="sr-Cyrl-RS"/>
        </w:rPr>
        <w:t xml:space="preserve">(ЕУ) </w:t>
      </w:r>
      <w:r>
        <w:rPr>
          <w:rFonts w:ascii="Times New Roman" w:hAnsi="Times New Roman" w:cs="Times New Roman"/>
          <w:b/>
          <w:bCs/>
          <w:lang w:val="sr-Cyrl-RS"/>
        </w:rPr>
        <w:t>2021/</w:t>
      </w:r>
      <w:r w:rsidR="008305E5">
        <w:rPr>
          <w:rFonts w:ascii="Times New Roman" w:hAnsi="Times New Roman" w:cs="Times New Roman"/>
          <w:b/>
          <w:bCs/>
          <w:lang w:val="sr-Cyrl-RS"/>
        </w:rPr>
        <w:t xml:space="preserve">552 </w:t>
      </w:r>
      <w:r w:rsidR="008305E5" w:rsidRPr="008305E5">
        <w:rPr>
          <w:rFonts w:ascii="Times New Roman" w:hAnsi="Times New Roman" w:cs="Times New Roman"/>
          <w:lang w:val="sr-Cyrl-RS"/>
        </w:rPr>
        <w:t>од 30. марта 2021. године о давању одобрења Уније за породицу биоцидних производа“</w:t>
      </w:r>
      <w:r w:rsidR="008305E5" w:rsidRPr="008305E5">
        <w:rPr>
          <w:rFonts w:ascii="Times New Roman" w:hAnsi="Times New Roman" w:cs="Times New Roman"/>
        </w:rPr>
        <w:t xml:space="preserve"> Dec</w:t>
      </w:r>
      <w:r w:rsidR="008305E5">
        <w:rPr>
          <w:rFonts w:ascii="Times New Roman" w:hAnsi="Times New Roman" w:cs="Times New Roman"/>
        </w:rPr>
        <w:t xml:space="preserve"> </w:t>
      </w:r>
      <w:r w:rsidR="00A75E06">
        <w:rPr>
          <w:rFonts w:ascii="Times New Roman" w:hAnsi="Times New Roman" w:cs="Times New Roman"/>
        </w:rPr>
        <w:t>–</w:t>
      </w:r>
      <w:r w:rsidR="008305E5">
        <w:rPr>
          <w:rFonts w:ascii="Times New Roman" w:hAnsi="Times New Roman" w:cs="Times New Roman"/>
        </w:rPr>
        <w:t xml:space="preserve"> </w:t>
      </w:r>
      <w:r w:rsidR="008305E5" w:rsidRPr="00781055">
        <w:rPr>
          <w:rFonts w:ascii="Times New Roman" w:hAnsi="Times New Roman" w:cs="Times New Roman"/>
          <w:lang w:val="sr-Latn-RS"/>
        </w:rPr>
        <w:t>Ahol</w:t>
      </w:r>
      <w:r w:rsidR="00A75E06" w:rsidRPr="00781055">
        <w:rPr>
          <w:rFonts w:ascii="Times New Roman" w:hAnsi="Times New Roman" w:cs="Times New Roman"/>
          <w:lang w:val="sr-Latn-RS"/>
        </w:rPr>
        <w:t xml:space="preserve"> </w:t>
      </w:r>
      <w:r w:rsidR="00A75E06">
        <w:rPr>
          <w:rFonts w:ascii="Times New Roman" w:hAnsi="Times New Roman" w:cs="Times New Roman"/>
          <w:lang w:val="sr-Cyrl-RS"/>
        </w:rPr>
        <w:t>породица производа</w:t>
      </w:r>
      <w:r w:rsidR="008305E5" w:rsidRPr="008305E5">
        <w:rPr>
          <w:rFonts w:ascii="Times New Roman" w:hAnsi="Times New Roman" w:cs="Times New Roman"/>
          <w:lang w:val="sr-Cyrl-RS"/>
        </w:rPr>
        <w:t>„.</w:t>
      </w:r>
    </w:p>
    <w:p w14:paraId="210E1B49" w14:textId="7D48FFCF" w:rsidR="00593217" w:rsidRPr="00C25E5A" w:rsidRDefault="00593217" w:rsidP="000D74AD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lang w:val="sr-Cyrl-RS"/>
        </w:rPr>
        <w:t xml:space="preserve">Уредба </w:t>
      </w:r>
      <w:r w:rsidR="00C642C4">
        <w:rPr>
          <w:rFonts w:ascii="Times New Roman" w:hAnsi="Times New Roman" w:cs="Times New Roman"/>
          <w:b/>
          <w:bCs/>
          <w:lang w:val="sr-Cyrl-RS"/>
        </w:rPr>
        <w:t>(ЕУ)</w:t>
      </w:r>
      <w:r>
        <w:rPr>
          <w:rFonts w:ascii="Times New Roman" w:hAnsi="Times New Roman" w:cs="Times New Roman"/>
          <w:b/>
          <w:bCs/>
          <w:lang w:val="sr-Cyrl-RS"/>
        </w:rPr>
        <w:t xml:space="preserve"> 2021/553 </w:t>
      </w:r>
      <w:r w:rsidRPr="00593217">
        <w:rPr>
          <w:rFonts w:ascii="Times New Roman" w:hAnsi="Times New Roman" w:cs="Times New Roman"/>
          <w:lang w:val="sr-Cyrl-RS"/>
        </w:rPr>
        <w:t>од 29. марта 2021. године којом се одобрава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93217">
        <w:rPr>
          <w:rFonts w:ascii="Times New Roman" w:hAnsi="Times New Roman" w:cs="Times New Roman"/>
          <w:lang w:val="sr-Cyrl-RS"/>
        </w:rPr>
        <w:t>одступањ</w:t>
      </w:r>
      <w:r>
        <w:rPr>
          <w:rFonts w:ascii="Times New Roman" w:hAnsi="Times New Roman" w:cs="Times New Roman"/>
          <w:lang w:val="sr-Cyrl-RS"/>
        </w:rPr>
        <w:t>е</w:t>
      </w:r>
      <w:r w:rsidRPr="00593217">
        <w:rPr>
          <w:rFonts w:ascii="Times New Roman" w:hAnsi="Times New Roman" w:cs="Times New Roman"/>
          <w:lang w:val="sr-Cyrl-RS"/>
        </w:rPr>
        <w:t xml:space="preserve"> Грчке, Шпаније и Малте у погледу пружања статистике у складу са Уредбом </w:t>
      </w:r>
      <w:r w:rsidR="00C642C4">
        <w:rPr>
          <w:rFonts w:ascii="Times New Roman" w:hAnsi="Times New Roman" w:cs="Times New Roman"/>
          <w:lang w:val="sr-Cyrl-RS"/>
        </w:rPr>
        <w:t xml:space="preserve">(ЕУ) </w:t>
      </w:r>
      <w:r w:rsidRPr="00593217">
        <w:rPr>
          <w:rFonts w:ascii="Times New Roman" w:hAnsi="Times New Roman" w:cs="Times New Roman"/>
          <w:lang w:val="sr-Cyrl-RS"/>
        </w:rPr>
        <w:t>1099/2008 Европског парламента и Савета о енергетској статистици.</w:t>
      </w:r>
    </w:p>
    <w:p w14:paraId="6FBA8244" w14:textId="6E8BEF73" w:rsidR="00C25E5A" w:rsidRPr="00593217" w:rsidRDefault="00C25E5A" w:rsidP="00C25E5A">
      <w:pPr>
        <w:pStyle w:val="Default"/>
        <w:ind w:left="360"/>
        <w:jc w:val="both"/>
      </w:pPr>
    </w:p>
    <w:p w14:paraId="71A35AD6" w14:textId="22E0C957" w:rsidR="00781055" w:rsidRDefault="00781055" w:rsidP="00781055">
      <w:pPr>
        <w:pStyle w:val="Default"/>
        <w:jc w:val="both"/>
      </w:pPr>
    </w:p>
    <w:p w14:paraId="341BD177" w14:textId="58B50870" w:rsidR="00837FF0" w:rsidRDefault="00837FF0" w:rsidP="00837FF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Објављени извештаји:</w:t>
      </w:r>
    </w:p>
    <w:p w14:paraId="2EE2E7F6" w14:textId="77777777" w:rsidR="00725347" w:rsidRDefault="00E81F27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1F27">
        <w:rPr>
          <w:rFonts w:ascii="Times New Roman" w:hAnsi="Times New Roman" w:cs="Times New Roman"/>
          <w:sz w:val="24"/>
          <w:szCs w:val="24"/>
          <w:lang w:val="sr-Cyrl-RS"/>
        </w:rPr>
        <w:t>Достављена је Студија о емисијама угљеника која је објављена 3. марта у научном часопису</w:t>
      </w:r>
      <w:r w:rsidRPr="00E81F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81F27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Nature Climate Change</w:t>
      </w:r>
      <w:r w:rsidRPr="00E81F27">
        <w:rPr>
          <w:rFonts w:ascii="Times New Roman" w:hAnsi="Times New Roman" w:cs="Times New Roman"/>
          <w:sz w:val="24"/>
          <w:szCs w:val="24"/>
          <w:lang w:val="sr-Cyrl-RS"/>
        </w:rPr>
        <w:t xml:space="preserve"> . Основни закључак Студије је неопходност десетоструког повећања снижења емисија штетних гасова од употребе фосилних горива у циљу обезбеђења реализације циљева Париског споразума.</w:t>
      </w:r>
    </w:p>
    <w:p w14:paraId="43929085" w14:textId="173FECE6" w:rsidR="00AB5F06" w:rsidRDefault="00725347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Европска комисија је 11. марта предложила ревизију</w:t>
      </w:r>
      <w:r w:rsidR="00AB5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европских еколошко-економских мерила (</w:t>
      </w:r>
      <w:r w:rsidR="00AB5F06">
        <w:rPr>
          <w:rFonts w:ascii="Times New Roman" w:hAnsi="Times New Roman" w:cs="Times New Roman"/>
          <w:sz w:val="24"/>
          <w:szCs w:val="24"/>
        </w:rPr>
        <w:t>EEAA-European Environmental Economic Accounts</w:t>
      </w:r>
      <w:r>
        <w:rPr>
          <w:rFonts w:ascii="Times New Roman" w:hAnsi="Times New Roman" w:cs="Times New Roman"/>
          <w:sz w:val="24"/>
          <w:szCs w:val="24"/>
          <w:lang w:val="sr-Cyrl-RS"/>
        </w:rPr>
        <w:t>) у циљу усаглашавања са новим статистичким оквиром за природу у економском планирању Уједињених нација, усвојеним 10. марта 2021. године. Новим моделом обезбеђује се интегрисање</w:t>
      </w:r>
      <w:r w:rsidR="00461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5F06">
        <w:rPr>
          <w:rFonts w:ascii="Times New Roman" w:hAnsi="Times New Roman" w:cs="Times New Roman"/>
          <w:sz w:val="24"/>
          <w:szCs w:val="24"/>
          <w:lang w:val="sr-Cyrl-RS"/>
        </w:rPr>
        <w:t>био-диверзитета и еко-система у националне економске планове што ће утицати на повећано вредновање природе у инвестиционим и развојним политикама земаља.</w:t>
      </w:r>
    </w:p>
    <w:p w14:paraId="004B9A20" w14:textId="6E62D418" w:rsidR="00E81F27" w:rsidRDefault="00AB5F06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Европска комисија је 9. марта објавила Извештај о спровођењу легислативе о упорним органским загађивачима (</w:t>
      </w:r>
      <w:r w:rsidR="00B25C44">
        <w:rPr>
          <w:rFonts w:ascii="Times New Roman" w:hAnsi="Times New Roman" w:cs="Times New Roman"/>
          <w:sz w:val="24"/>
          <w:szCs w:val="24"/>
        </w:rPr>
        <w:t>POPs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81F27" w:rsidRPr="00E81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хемијским супстанцама које се користе у индустријској производњи и у производњи пестицида. У извештају је истакнуто да је спровођење легислативе допринело снижењу </w:t>
      </w:r>
      <w:r w:rsidR="00B25C44">
        <w:rPr>
          <w:rFonts w:ascii="Times New Roman" w:hAnsi="Times New Roman" w:cs="Times New Roman"/>
          <w:sz w:val="24"/>
          <w:szCs w:val="24"/>
          <w:lang w:val="sr-Cyrl-RS"/>
        </w:rPr>
        <w:t>емисија хемикалија у окружењу.</w:t>
      </w:r>
    </w:p>
    <w:p w14:paraId="606F9CB2" w14:textId="7D0897A1" w:rsidR="00CD63B2" w:rsidRDefault="00CD63B2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 је допис националних саветодавних тела за климатске промене којим позивају европске институције на формирање Европског савета за климатске промене.</w:t>
      </w:r>
    </w:p>
    <w:p w14:paraId="4DADF638" w14:textId="252EB24A" w:rsidR="00D118F6" w:rsidRDefault="00D118F6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 је резиме одлука Европске комисије о дозволама за стављање на тржиште за употребу и/или употребу супстанци из Прилога 14 Уредбе са бројем 1907/2006 Европског парламента и Савета, а у вези са регистрацијом, оценом, одобрењем и ограниченом употребом хемикалија (</w:t>
      </w:r>
      <w:r>
        <w:rPr>
          <w:rFonts w:ascii="Times New Roman" w:hAnsi="Times New Roman" w:cs="Times New Roman"/>
          <w:sz w:val="24"/>
          <w:szCs w:val="24"/>
        </w:rPr>
        <w:t>REACH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0B7A756A" w14:textId="3E22BF52" w:rsidR="00CE6AED" w:rsidRDefault="00CE6AED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 је обавештење Савета ЕУ од 15. марта о усвајању закључка о ЕУ хемијској стратегији за одрживост. Овим је усвојена дугорочна визија политике употребе хемикалија у ЕУ.</w:t>
      </w:r>
    </w:p>
    <w:p w14:paraId="56126F53" w14:textId="2A6A3384" w:rsidR="00DC197C" w:rsidRDefault="00DC197C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 је обавештење Европске комисије о првом стратешком плану за расподелу средстава ЕУ програма Хоризонт Европа (2021-2024), у висини од 95,5 милијарде евра. Планирано је алоцирање средстава за: дигиталне и модерне технологије; обнову еко-система и био-диверзитета; одрживо управљање природним ресурсима; успостављање циркуларне, климатски-неутралне и одрживе економије, као и за креирање отпорније, инклизивне и демократске европске заједнице.</w:t>
      </w:r>
    </w:p>
    <w:p w14:paraId="47472B44" w14:textId="4145D76A" w:rsidR="00EB2384" w:rsidRDefault="00EB2384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Достављено је обавештење Савета ЕУ о усвајању предлога за програм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(2021-2027), који је основни ЕУ програм за заштиту природе и био-диверзитета, као и за борбу против климатских промена. Договор Европског парламента и Савета ЕУ из децембра 2020. године предвиђа алокацију за програм у висини од 5,5 милијарди евра. У  наредном периоду очекује се усвајање предлога у Европском парламенту.</w:t>
      </w:r>
    </w:p>
    <w:p w14:paraId="2F65E3C9" w14:textId="3D060483" w:rsidR="00D8182C" w:rsidRDefault="00D8182C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Достављена је Изјава Вирђинијуса Синкевичиуса, комесара за животну средину, океане и рибарство, Европска комисија након неформалне видео-конференције министара животне средине. Поздравио је креативну расправу о климатским питањима, првенствено о Стратегији прилагођавања на климатске промене и о Закону о клими, као и о питањима „озелењавања“ Европског семестра.</w:t>
      </w:r>
    </w:p>
    <w:p w14:paraId="2AE7E889" w14:textId="18A3FB7F" w:rsidR="00153D9D" w:rsidRDefault="00153D9D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 је обавештење Европске комисије о заједничкој позицији ЕК и Европске инвестиционе банке у успостављању „Глобалног зеленог договора“ коју ће презентовати на виртуелном састанку светских институција, лидера и инвеститора под називом: „Инвестирање у климатске акције“ чије одржавање је предвиђено за 24. март 2021. године.</w:t>
      </w:r>
    </w:p>
    <w:p w14:paraId="65F3F819" w14:textId="5E8E1FDE" w:rsidR="00F371A5" w:rsidRDefault="00F371A5" w:rsidP="00E81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 је обавештење предузећима која намеравају да увозе или извозе контролисане супстанце које уштећују озонски омотач у или и Европске уније 2022. године, као и предузећима која намеравају да произведу или увозе ове супстанце за основне лабораторијске и аналитичке намене 2022. године.</w:t>
      </w:r>
    </w:p>
    <w:p w14:paraId="0D696FBA" w14:textId="0B40897E" w:rsidR="00CA7424" w:rsidRDefault="00CA7424" w:rsidP="00BC4C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 је мишљење Европског комитета региона – 8. Акциони програм за животну средину.</w:t>
      </w:r>
    </w:p>
    <w:p w14:paraId="45E76C4F" w14:textId="5394E816" w:rsidR="00CA7424" w:rsidRDefault="00CA7424" w:rsidP="00BC4C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Европска комисија је 25. марта усвојила Смернице којима се објашњава концепт „еколошке штете“ у Директиви о еколошкој одговорности (2004/35/ЕС). Појашњене су ситуације  када се одговорност за штету животној средини приписује привредним операторима.</w:t>
      </w:r>
    </w:p>
    <w:p w14:paraId="6EA2E268" w14:textId="77777777" w:rsidR="00BC4C92" w:rsidRDefault="007A7F10" w:rsidP="00BC4C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 је извештај са скупа под називом:  „Јачање циркуларне био-економије уз помоћ Европског зеленог договора“, који је у организацији Франца Боговича, шефа Радне групе за био-економију, Интергрупе за климатске промене, биодиверзитет и одрживи развој Европског парламента, одржан 17. марта 2021. године.</w:t>
      </w:r>
    </w:p>
    <w:p w14:paraId="69FE2483" w14:textId="5E5499F3" w:rsidR="00BC4C92" w:rsidRPr="00BC4C92" w:rsidRDefault="00BC4C92" w:rsidP="00BC4C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C92">
        <w:rPr>
          <w:rFonts w:ascii="Times New Roman" w:hAnsi="Times New Roman" w:cs="Times New Roman"/>
          <w:lang w:val="sr-Cyrl-RS"/>
        </w:rPr>
        <w:t>Достављена је одлука комисије од 16. децембра 2020. године којом се налаже централном администратору да унесе промене у националне табеле расподеле Белгије, Чешке, Данске, Немачке, Естоније, Ирске, Шпаније, Француске, Хрватске, Италије, Кипра, Летоније, Мађарске, Холандије, Аустрије, Пољске, Португалије, Румуније, Словачка, Шведска и Велика Британија у дневник трансакција Европске уније.</w:t>
      </w:r>
    </w:p>
    <w:p w14:paraId="69973CA3" w14:textId="51728DFF" w:rsidR="00BC4C92" w:rsidRDefault="00BC4C92" w:rsidP="00BC4C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Достављена је одлука комисије од 16. децембра 2020. године којом се налаже централном администартору дневника трансакција Европске уније да унесе промене у националне табеле расподеле Немачке у дневник трансакција Европске уније.</w:t>
      </w:r>
    </w:p>
    <w:p w14:paraId="32BE4FC5" w14:textId="096E1367" w:rsidR="00BC4C92" w:rsidRDefault="00BC4C92" w:rsidP="00BC4C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Достављена </w:t>
      </w:r>
      <w:r w:rsidR="003610D1">
        <w:rPr>
          <w:rFonts w:ascii="Times New Roman" w:hAnsi="Times New Roman" w:cs="Times New Roman"/>
          <w:sz w:val="24"/>
          <w:szCs w:val="24"/>
          <w:lang w:val="sr-Cyrl-RS"/>
        </w:rPr>
        <w:t>је одлука комисије од 15. децембра 2020. године којом се налаже централном администратору да унесе промене у табеле међународних права на кредит у дневник трансакција Европске уније.</w:t>
      </w:r>
    </w:p>
    <w:p w14:paraId="18B11C5C" w14:textId="7B634BF1" w:rsidR="00E81F27" w:rsidRDefault="00C25E5A" w:rsidP="00837F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 је обавештење комисије</w:t>
      </w:r>
      <w:r w:rsidR="002B00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00B5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мернице које пружају заједничко разумевање појма „штета по животну средину“ како је и дефинисано у члану 2 Директиве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2004/35/ЕС Европског парламента и Савета о еколошкој одговорности у погледу спречавања</w:t>
      </w:r>
      <w:r w:rsidR="002B00B5">
        <w:rPr>
          <w:rFonts w:ascii="Times New Roman" w:hAnsi="Times New Roman" w:cs="Times New Roman"/>
          <w:sz w:val="24"/>
          <w:szCs w:val="24"/>
          <w:lang w:val="sr-Cyrl-RS"/>
        </w:rPr>
        <w:t xml:space="preserve"> и отклањања штете у животној средини.</w:t>
      </w:r>
    </w:p>
    <w:p w14:paraId="2B65678B" w14:textId="77777777" w:rsidR="00EB1306" w:rsidRPr="00EB1306" w:rsidRDefault="00EB1306" w:rsidP="00EB130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B66052" w14:textId="6CCE7BC2" w:rsidR="00794787" w:rsidRDefault="00837FF0" w:rsidP="00837FF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Одржани састанци:</w:t>
      </w:r>
    </w:p>
    <w:p w14:paraId="6E8B6559" w14:textId="034E508E" w:rsidR="00F7423B" w:rsidRDefault="00F7423B" w:rsidP="007947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4787">
        <w:rPr>
          <w:rFonts w:ascii="Times New Roman" w:hAnsi="Times New Roman" w:cs="Times New Roman"/>
          <w:sz w:val="24"/>
          <w:szCs w:val="24"/>
          <w:lang w:val="sr-Cyrl-RS"/>
        </w:rPr>
        <w:t>У организацији Европске комисије, Европске агенције за животну средину</w:t>
      </w:r>
      <w:r w:rsidR="00794787">
        <w:rPr>
          <w:rFonts w:ascii="Times New Roman" w:hAnsi="Times New Roman" w:cs="Times New Roman"/>
          <w:sz w:val="24"/>
          <w:szCs w:val="24"/>
        </w:rPr>
        <w:t xml:space="preserve"> (EEA -European Environmental Agency)</w:t>
      </w:r>
      <w:r w:rsidRPr="00794787">
        <w:rPr>
          <w:rFonts w:ascii="Times New Roman" w:hAnsi="Times New Roman" w:cs="Times New Roman"/>
          <w:sz w:val="24"/>
          <w:szCs w:val="24"/>
          <w:lang w:val="sr-Cyrl-RS"/>
        </w:rPr>
        <w:t xml:space="preserve"> и Центра за европску</w:t>
      </w:r>
      <w:r w:rsidR="00025AF6" w:rsidRPr="00794787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политику</w:t>
      </w:r>
      <w:r w:rsidR="00794787">
        <w:rPr>
          <w:rFonts w:ascii="Times New Roman" w:hAnsi="Times New Roman" w:cs="Times New Roman"/>
          <w:sz w:val="24"/>
          <w:szCs w:val="24"/>
        </w:rPr>
        <w:t xml:space="preserve"> (EPC - European Policy Centre)</w:t>
      </w:r>
      <w:r w:rsidR="00025AF6" w:rsidRPr="00794787">
        <w:rPr>
          <w:rFonts w:ascii="Times New Roman" w:hAnsi="Times New Roman" w:cs="Times New Roman"/>
          <w:sz w:val="24"/>
          <w:szCs w:val="24"/>
          <w:lang w:val="sr-Cyrl-RS"/>
        </w:rPr>
        <w:t>, 4. марта, одржан је скуп под називом</w:t>
      </w:r>
      <w:r w:rsidR="00794787" w:rsidRPr="0079478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94787">
        <w:rPr>
          <w:rFonts w:ascii="Times New Roman" w:hAnsi="Times New Roman" w:cs="Times New Roman"/>
          <w:sz w:val="24"/>
          <w:szCs w:val="24"/>
        </w:rPr>
        <w:t xml:space="preserve"> </w:t>
      </w:r>
      <w:r w:rsidR="00025AF6" w:rsidRPr="00794787">
        <w:rPr>
          <w:rFonts w:ascii="Times New Roman" w:hAnsi="Times New Roman" w:cs="Times New Roman"/>
          <w:sz w:val="24"/>
          <w:szCs w:val="24"/>
          <w:lang w:val="sr-Cyrl-RS"/>
        </w:rPr>
        <w:t>„Очување здравља у време климатских промена“ у оквиру којег је одржано и свечано отварање Европске опсерваторије за климу и здравље</w:t>
      </w:r>
      <w:r w:rsidR="00794787" w:rsidRPr="007947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74FAE0" w14:textId="443B2986" w:rsidR="00C96F8F" w:rsidRDefault="00C96F8F" w:rsidP="007947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организацији Центра за европску политику</w:t>
      </w:r>
      <w:r w:rsidR="006F56F8">
        <w:rPr>
          <w:rFonts w:ascii="Times New Roman" w:hAnsi="Times New Roman" w:cs="Times New Roman"/>
          <w:sz w:val="24"/>
          <w:szCs w:val="24"/>
        </w:rPr>
        <w:t xml:space="preserve"> (EPC – European Policy Centre</w:t>
      </w:r>
      <w:r>
        <w:rPr>
          <w:rFonts w:ascii="Times New Roman" w:hAnsi="Times New Roman" w:cs="Times New Roman"/>
          <w:sz w:val="24"/>
          <w:szCs w:val="24"/>
          <w:lang w:val="sr-Cyrl-RS"/>
        </w:rPr>
        <w:t>, 2. марта је одржан скуп под називом: „</w:t>
      </w:r>
      <w:r w:rsidR="006F56F8">
        <w:rPr>
          <w:rFonts w:ascii="Times New Roman" w:hAnsi="Times New Roman" w:cs="Times New Roman"/>
          <w:sz w:val="24"/>
          <w:szCs w:val="24"/>
          <w:lang w:val="sr-Cyrl-RS"/>
        </w:rPr>
        <w:t>Акциони план за циркуларну економију: једна година након усвајања“.</w:t>
      </w:r>
    </w:p>
    <w:p w14:paraId="2CB4DE3C" w14:textId="19CE3786" w:rsidR="00A74733" w:rsidRDefault="00A74733" w:rsidP="007947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организацији Центра за европску политику (</w:t>
      </w:r>
      <w:r w:rsidR="00D854AB">
        <w:rPr>
          <w:rFonts w:ascii="Times New Roman" w:hAnsi="Times New Roman" w:cs="Times New Roman"/>
          <w:sz w:val="24"/>
          <w:szCs w:val="24"/>
        </w:rPr>
        <w:t>EPC-European Policy Centre</w:t>
      </w:r>
      <w:r>
        <w:rPr>
          <w:rFonts w:ascii="Times New Roman" w:hAnsi="Times New Roman" w:cs="Times New Roman"/>
          <w:sz w:val="24"/>
          <w:szCs w:val="24"/>
          <w:lang w:val="sr-Cyrl-RS"/>
        </w:rPr>
        <w:t>) и Европске инвестиционе банке (ЕИБ), 2. марта одржан је скуп на тему: „</w:t>
      </w:r>
      <w:r w:rsidR="00580AF6">
        <w:rPr>
          <w:rFonts w:ascii="Times New Roman" w:hAnsi="Times New Roman" w:cs="Times New Roman"/>
          <w:sz w:val="24"/>
          <w:szCs w:val="24"/>
          <w:lang w:val="sr-Cyrl-RS"/>
        </w:rPr>
        <w:t>ЕУ стратегија прилагођавања на климатске промене: Пут ка климатски отпорној Европи?“.</w:t>
      </w:r>
    </w:p>
    <w:p w14:paraId="1734E04E" w14:textId="477CE3F0" w:rsidR="007B7B9C" w:rsidRPr="00794787" w:rsidRDefault="007B7B9C" w:rsidP="007947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организацији веб портала „</w:t>
      </w:r>
      <w:r>
        <w:rPr>
          <w:rFonts w:ascii="Times New Roman" w:hAnsi="Times New Roman" w:cs="Times New Roman"/>
          <w:sz w:val="24"/>
          <w:szCs w:val="24"/>
        </w:rPr>
        <w:t>politico.eu</w:t>
      </w:r>
      <w:r>
        <w:rPr>
          <w:rFonts w:ascii="Times New Roman" w:hAnsi="Times New Roman" w:cs="Times New Roman"/>
          <w:sz w:val="24"/>
          <w:szCs w:val="24"/>
          <w:lang w:val="sr-Cyrl-RS"/>
        </w:rPr>
        <w:t>“ 16. марта 2021. године је одржан вебинар на тему „Биоекономија и Европски зелени договор – како постићи европску климатску неутралност уз очување циљева развоја“.</w:t>
      </w:r>
    </w:p>
    <w:p w14:paraId="3FAFBCCB" w14:textId="77777777" w:rsidR="00837FF0" w:rsidRPr="00794787" w:rsidRDefault="00837FF0" w:rsidP="007947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FF0" w:rsidRPr="0079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80D"/>
    <w:multiLevelType w:val="hybridMultilevel"/>
    <w:tmpl w:val="D81EAEF6"/>
    <w:lvl w:ilvl="0" w:tplc="47A2A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15B5"/>
    <w:multiLevelType w:val="hybridMultilevel"/>
    <w:tmpl w:val="2B3E6E26"/>
    <w:lvl w:ilvl="0" w:tplc="3D72A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77"/>
    <w:rsid w:val="000126B6"/>
    <w:rsid w:val="00014842"/>
    <w:rsid w:val="000218CE"/>
    <w:rsid w:val="00025AF6"/>
    <w:rsid w:val="000322D9"/>
    <w:rsid w:val="0003291E"/>
    <w:rsid w:val="00073951"/>
    <w:rsid w:val="00076909"/>
    <w:rsid w:val="00077C7D"/>
    <w:rsid w:val="00080F1B"/>
    <w:rsid w:val="00081A04"/>
    <w:rsid w:val="000936F5"/>
    <w:rsid w:val="0009473B"/>
    <w:rsid w:val="000D5B81"/>
    <w:rsid w:val="000D74AD"/>
    <w:rsid w:val="000F3541"/>
    <w:rsid w:val="00104601"/>
    <w:rsid w:val="00153D9D"/>
    <w:rsid w:val="0016456C"/>
    <w:rsid w:val="001C15E2"/>
    <w:rsid w:val="002102AB"/>
    <w:rsid w:val="0021209D"/>
    <w:rsid w:val="0024508A"/>
    <w:rsid w:val="002864CB"/>
    <w:rsid w:val="00297AB0"/>
    <w:rsid w:val="002B00B5"/>
    <w:rsid w:val="002C3C2B"/>
    <w:rsid w:val="002D2EBD"/>
    <w:rsid w:val="00304177"/>
    <w:rsid w:val="003610D1"/>
    <w:rsid w:val="0039524D"/>
    <w:rsid w:val="003B36D5"/>
    <w:rsid w:val="003B4E38"/>
    <w:rsid w:val="003D4D0C"/>
    <w:rsid w:val="0041051A"/>
    <w:rsid w:val="004167E5"/>
    <w:rsid w:val="00430723"/>
    <w:rsid w:val="004320A6"/>
    <w:rsid w:val="00432EAB"/>
    <w:rsid w:val="00444340"/>
    <w:rsid w:val="0046136B"/>
    <w:rsid w:val="00492A61"/>
    <w:rsid w:val="0049753A"/>
    <w:rsid w:val="004B08EF"/>
    <w:rsid w:val="004E522B"/>
    <w:rsid w:val="005119AF"/>
    <w:rsid w:val="00520562"/>
    <w:rsid w:val="00523465"/>
    <w:rsid w:val="00537EC2"/>
    <w:rsid w:val="00545541"/>
    <w:rsid w:val="00580AF6"/>
    <w:rsid w:val="00590A95"/>
    <w:rsid w:val="00593217"/>
    <w:rsid w:val="005A1CE3"/>
    <w:rsid w:val="005C401F"/>
    <w:rsid w:val="005D2CAB"/>
    <w:rsid w:val="005D5E13"/>
    <w:rsid w:val="005D6323"/>
    <w:rsid w:val="0061047C"/>
    <w:rsid w:val="0061053D"/>
    <w:rsid w:val="00642139"/>
    <w:rsid w:val="006A380D"/>
    <w:rsid w:val="006E2C86"/>
    <w:rsid w:val="006F56F8"/>
    <w:rsid w:val="00725347"/>
    <w:rsid w:val="00781055"/>
    <w:rsid w:val="00794787"/>
    <w:rsid w:val="007A2FA0"/>
    <w:rsid w:val="007A7F10"/>
    <w:rsid w:val="007B7B9C"/>
    <w:rsid w:val="007E1071"/>
    <w:rsid w:val="007E2D7F"/>
    <w:rsid w:val="008305E5"/>
    <w:rsid w:val="00835902"/>
    <w:rsid w:val="00837FF0"/>
    <w:rsid w:val="008B5776"/>
    <w:rsid w:val="00911DFA"/>
    <w:rsid w:val="009230C1"/>
    <w:rsid w:val="00926820"/>
    <w:rsid w:val="009378FB"/>
    <w:rsid w:val="00946FD8"/>
    <w:rsid w:val="00985086"/>
    <w:rsid w:val="009E2E9F"/>
    <w:rsid w:val="00A31AA0"/>
    <w:rsid w:val="00A45FB2"/>
    <w:rsid w:val="00A74733"/>
    <w:rsid w:val="00A75E06"/>
    <w:rsid w:val="00A77009"/>
    <w:rsid w:val="00AB5F06"/>
    <w:rsid w:val="00AD6279"/>
    <w:rsid w:val="00AE1ED0"/>
    <w:rsid w:val="00B0153B"/>
    <w:rsid w:val="00B167DA"/>
    <w:rsid w:val="00B214D5"/>
    <w:rsid w:val="00B25C44"/>
    <w:rsid w:val="00B42AD2"/>
    <w:rsid w:val="00B42AE0"/>
    <w:rsid w:val="00B5290B"/>
    <w:rsid w:val="00BA336E"/>
    <w:rsid w:val="00BC2B02"/>
    <w:rsid w:val="00BC4C92"/>
    <w:rsid w:val="00C13853"/>
    <w:rsid w:val="00C25E5A"/>
    <w:rsid w:val="00C368CF"/>
    <w:rsid w:val="00C46B35"/>
    <w:rsid w:val="00C642C4"/>
    <w:rsid w:val="00C96F8F"/>
    <w:rsid w:val="00CA6FE4"/>
    <w:rsid w:val="00CA7424"/>
    <w:rsid w:val="00CB343E"/>
    <w:rsid w:val="00CD63B2"/>
    <w:rsid w:val="00CE2030"/>
    <w:rsid w:val="00CE6AED"/>
    <w:rsid w:val="00D031C5"/>
    <w:rsid w:val="00D118F6"/>
    <w:rsid w:val="00D376F5"/>
    <w:rsid w:val="00D8182C"/>
    <w:rsid w:val="00D854AB"/>
    <w:rsid w:val="00DA06B1"/>
    <w:rsid w:val="00DA439C"/>
    <w:rsid w:val="00DC197C"/>
    <w:rsid w:val="00DE5D6E"/>
    <w:rsid w:val="00DF4A95"/>
    <w:rsid w:val="00E12337"/>
    <w:rsid w:val="00E317A4"/>
    <w:rsid w:val="00E466CD"/>
    <w:rsid w:val="00E81F27"/>
    <w:rsid w:val="00EB1306"/>
    <w:rsid w:val="00EB2384"/>
    <w:rsid w:val="00EC11B5"/>
    <w:rsid w:val="00EF6CC0"/>
    <w:rsid w:val="00F371A5"/>
    <w:rsid w:val="00F7423B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8F73"/>
  <w15:chartTrackingRefBased/>
  <w15:docId w15:val="{61FC1A3D-1D75-4ECC-B753-4F0576F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053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388E-BAE2-4388-9D5A-C879CEA2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9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Borcevic</dc:creator>
  <cp:keywords/>
  <dc:description/>
  <cp:lastModifiedBy>Darinka Borcevic</cp:lastModifiedBy>
  <cp:revision>91</cp:revision>
  <dcterms:created xsi:type="dcterms:W3CDTF">2021-01-12T10:18:00Z</dcterms:created>
  <dcterms:modified xsi:type="dcterms:W3CDTF">2021-04-19T06:26:00Z</dcterms:modified>
</cp:coreProperties>
</file>